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bicicletas para niños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diciembre de 2020)</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BICICLETAS PARA NIÑOS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34/20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21 de diciembre de 2015 se publicó en el Diario Oficial de la Federación (DOF) la Resolución final de la investigación antidumping sobre las importaciones de bicicletas para niños originarias de la República Popular China ("China"), independientemente del país de procedencia. Mediante esta Resolución, la Secretaría determinó una cuota compensatoria definitiva de $13.12 dólares por pieza.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las bicicletas para niños originarias de China, objeto de este examen.</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10 de noviembre de 2020 la Asociación Nacional de Fabricantes de Bicicletas, A.C. (ANAFABI) y las productoras nacionales Distribuidora de Bicicletas Benotto, S.A. de C.V. (Benotto), Motos y Bicicletas Goray, S.A. de C.V. (Goray), Bicicletas Mercurio, S.A. de C.V. (Mercurio), Bicicletas Supermex, S.A. de C.V. (Supermex) (antes Grupo Oriental, S.A. de C.V.), Bicicletas Veloci, S.A. de C.V. (Veloci), Corporativo La Bici, S.A. de C.V. (La Bici), Bicicletas Cinelli, S.A. de C.V. (Cinelli) y Rebimo de Guadalajara, S.A. de C.V. (Rebimo), manifestaron su interés en que la Secretaría inicie el examen de vigencia de la cuota compensatoria definitiva impuesta a las importaciones de bicicletas para niños originarias de China. Propusieron como periodo de examen el comprendido del 1 de julio de 2019 al 30 de junio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Benotto, Goray, Mercurio, Supermex, Veloci, La Bici, Cinelli y Rebimo son empresas constituidas conforme a las leyes mexicanas. Su principal actividad consiste en la fabricación y venta de bicicletas. Para acreditar su calidad de productores nacionales de bicicletas para niños, dichas empresas presentaron una carta de la Asociación Nacional de Fabricantes de Bicicletas, A.C. del 12 de noviembre de 2020, que así las acredita. Por su parte, la ANAFABI es una asociación civil constituida conforme a las leyes mexicanas. Su principal actividad consiste en representar los intereses generales de los fabricantes de bicicletas y defender los intereses de sus miembros.</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Producto objeto de examen</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Descripción del producto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son las bicicletas para niños, rodadas de 10 a 20 pulgadas ("), de todos los tipos. Una bicicleta es un vehículo de dos ruedas, constituido principalmente por un cuadro, tijera, ruedas (rin y llanta), asiento, manubrio y frenos; cada uno de estos componentes consta de varias partes. El cuadro es la columna vertebral de la bicicleta y sirve de soporte a las demás piezas.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Las bicicletas para niños son bienes de consumo universal que se diferencian únicamente por su tamaño, materiales de construcción, modelos y accesorios. Las aplicaciones y los usos básicos de las bicicletas son iguales y en gran medida son intercambiables, por lo que modelos de distintas categorías compiten entre sí y forman un producto único.</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Tratamiento arancelario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producto objeto de examen ingresa al mercado nacional a través de la fracción arancelaria 8712.00.02 de la Tarifa de la Ley de los Impuestos Generales de Importación y de Exportación (TIGIE), cuya descripción es la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4.9658415000285"/>
        <w:gridCol w:w="7090.545969523595"/>
        <w:tblGridChange w:id="0">
          <w:tblGrid>
            <w:gridCol w:w="1934.9658415000285"/>
            <w:gridCol w:w="7090.54596952359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5">
            <w:pPr>
              <w:spacing w:after="80" w:lineRule="auto"/>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6">
            <w:pPr>
              <w:spacing w:after="80" w:lineRule="auto"/>
              <w:jc w:val="center"/>
              <w:rPr>
                <w:b w:val="1"/>
                <w:sz w:val="18"/>
                <w:szCs w:val="18"/>
              </w:rPr>
            </w:pPr>
            <w:r w:rsidDel="00000000" w:rsidR="00000000" w:rsidRPr="00000000">
              <w:rPr>
                <w:b w:val="1"/>
                <w:sz w:val="18"/>
                <w:szCs w:val="18"/>
                <w:rtl w:val="0"/>
              </w:rPr>
              <w:t xml:space="preserve">Descripción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80" w:lineRule="auto"/>
              <w:jc w:val="both"/>
              <w:rPr>
                <w:sz w:val="18"/>
                <w:szCs w:val="18"/>
              </w:rPr>
            </w:pPr>
            <w:r w:rsidDel="00000000" w:rsidR="00000000" w:rsidRPr="00000000">
              <w:rPr>
                <w:sz w:val="18"/>
                <w:szCs w:val="18"/>
                <w:rtl w:val="0"/>
              </w:rPr>
              <w:t xml:space="preserve">Capítulo 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80" w:lineRule="auto"/>
              <w:jc w:val="both"/>
              <w:rPr>
                <w:sz w:val="18"/>
                <w:szCs w:val="18"/>
              </w:rPr>
            </w:pPr>
            <w:r w:rsidDel="00000000" w:rsidR="00000000" w:rsidRPr="00000000">
              <w:rPr>
                <w:sz w:val="18"/>
                <w:szCs w:val="18"/>
                <w:rtl w:val="0"/>
              </w:rPr>
              <w:t xml:space="preserve">Vehículos automóviles, tractores, velocípedos y demás vehículos terrestres; sus partes y accesorios.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80" w:lineRule="auto"/>
              <w:jc w:val="both"/>
              <w:rPr>
                <w:sz w:val="18"/>
                <w:szCs w:val="18"/>
              </w:rPr>
            </w:pPr>
            <w:r w:rsidDel="00000000" w:rsidR="00000000" w:rsidRPr="00000000">
              <w:rPr>
                <w:sz w:val="18"/>
                <w:szCs w:val="18"/>
                <w:rtl w:val="0"/>
              </w:rPr>
              <w:t xml:space="preserve">Partida 8712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80" w:lineRule="auto"/>
              <w:jc w:val="both"/>
              <w:rPr>
                <w:sz w:val="18"/>
                <w:szCs w:val="18"/>
              </w:rPr>
            </w:pPr>
            <w:r w:rsidDel="00000000" w:rsidR="00000000" w:rsidRPr="00000000">
              <w:rPr>
                <w:sz w:val="18"/>
                <w:szCs w:val="18"/>
                <w:rtl w:val="0"/>
              </w:rPr>
              <w:t xml:space="preserve">Bicicletas y demás velocípedos (incluidos los triciclos de reparto), sin motor.</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80" w:lineRule="auto"/>
              <w:jc w:val="both"/>
              <w:rPr>
                <w:sz w:val="18"/>
                <w:szCs w:val="18"/>
              </w:rPr>
            </w:pPr>
            <w:r w:rsidDel="00000000" w:rsidR="00000000" w:rsidRPr="00000000">
              <w:rPr>
                <w:sz w:val="18"/>
                <w:szCs w:val="18"/>
                <w:rtl w:val="0"/>
              </w:rPr>
              <w:t xml:space="preserve">Subpartida 8712.00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80" w:lineRule="auto"/>
              <w:jc w:val="both"/>
              <w:rPr>
                <w:sz w:val="18"/>
                <w:szCs w:val="18"/>
              </w:rPr>
            </w:pPr>
            <w:r w:rsidDel="00000000" w:rsidR="00000000" w:rsidRPr="00000000">
              <w:rPr>
                <w:sz w:val="18"/>
                <w:szCs w:val="18"/>
                <w:rtl w:val="0"/>
              </w:rPr>
              <w:t xml:space="preserve">Bicicletas y demás velocípedos (incluidos los triciclos de reparto), sin motor.</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D">
            <w:pPr>
              <w:spacing w:after="80" w:lineRule="auto"/>
              <w:jc w:val="both"/>
              <w:rPr>
                <w:sz w:val="18"/>
                <w:szCs w:val="18"/>
              </w:rPr>
            </w:pPr>
            <w:r w:rsidDel="00000000" w:rsidR="00000000" w:rsidRPr="00000000">
              <w:rPr>
                <w:sz w:val="18"/>
                <w:szCs w:val="18"/>
                <w:rtl w:val="0"/>
              </w:rPr>
              <w:t xml:space="preserve">Fracción 8712.00.02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E">
            <w:pPr>
              <w:spacing w:after="80" w:lineRule="auto"/>
              <w:jc w:val="both"/>
              <w:rPr>
                <w:sz w:val="18"/>
                <w:szCs w:val="18"/>
              </w:rPr>
            </w:pPr>
            <w:r w:rsidDel="00000000" w:rsidR="00000000" w:rsidRPr="00000000">
              <w:rPr>
                <w:sz w:val="18"/>
                <w:szCs w:val="18"/>
                <w:rtl w:val="0"/>
              </w:rPr>
              <w:t xml:space="preserve">Bicicletas para niños.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80" w:lineRule="auto"/>
              <w:jc w:val="both"/>
              <w:rPr>
                <w:sz w:val="18"/>
                <w:szCs w:val="18"/>
              </w:rPr>
            </w:pPr>
            <w:r w:rsidDel="00000000" w:rsidR="00000000" w:rsidRPr="00000000">
              <w:rPr>
                <w:sz w:val="18"/>
                <w:szCs w:val="18"/>
                <w:rtl w:val="0"/>
              </w:rPr>
              <w:t xml:space="preserve">Fracción 8712.00.04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0">
            <w:pPr>
              <w:spacing w:after="80" w:lineRule="auto"/>
              <w:jc w:val="both"/>
              <w:rPr>
                <w:sz w:val="18"/>
                <w:szCs w:val="18"/>
              </w:rPr>
            </w:pPr>
            <w:r w:rsidDel="00000000" w:rsidR="00000000" w:rsidRPr="00000000">
              <w:rPr>
                <w:sz w:val="18"/>
                <w:szCs w:val="18"/>
                <w:rtl w:val="0"/>
              </w:rPr>
              <w:t xml:space="preserve">Bicicletas, excepto lo comprendido en las fracciones 8712.00.01 y 8712.00.02.</w:t>
            </w:r>
          </w:p>
        </w:tc>
      </w:tr>
    </w:tbl>
    <w:p w:rsidR="00000000" w:rsidDel="00000000" w:rsidP="00000000" w:rsidRDefault="00000000" w:rsidRPr="00000000" w14:paraId="00000021">
      <w:pPr>
        <w:shd w:fill="ffffff" w:val="clear"/>
        <w:spacing w:after="80" w:lineRule="auto"/>
        <w:ind w:left="360" w:firstLine="0"/>
        <w:jc w:val="both"/>
        <w:rPr>
          <w:color w:val="2f2f2f"/>
          <w:sz w:val="12"/>
          <w:szCs w:val="12"/>
        </w:rPr>
      </w:pPr>
      <w:r w:rsidDel="00000000" w:rsidR="00000000" w:rsidRPr="00000000">
        <w:rPr>
          <w:color w:val="2f2f2f"/>
          <w:sz w:val="12"/>
          <w:szCs w:val="12"/>
          <w:rtl w:val="0"/>
        </w:rPr>
        <w:t xml:space="preserve">1</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La nota explicativa del capítulo 87 indica que la partida 8712 incluye todas las "bicicletas para niños" y que dicho término comprende las bicicletas con aros de hasta 20" de diámetro interior (rodada). DOF 2 de julio de 2007</w:t>
      </w:r>
    </w:p>
    <w:p w:rsidR="00000000" w:rsidDel="00000000" w:rsidP="00000000" w:rsidRDefault="00000000" w:rsidRPr="00000000" w14:paraId="00000022">
      <w:pPr>
        <w:shd w:fill="ffffff" w:val="clear"/>
        <w:spacing w:after="80" w:lineRule="auto"/>
        <w:ind w:left="36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De acuerdo con el SIAVI, las importaciones de la mercancía objeto de examen están sujetas a un arancel ad valorem de 15%, a excepción de las importaciones originarias de países con los que México ha celebrado tratados de libre comercio, las cuales están exentas; sin embargo, y de acuerdo al Tratado Integral y Progresista de Asociación Transpacífico (TPP), las mercancías originarias de Vietnam están sujetas a un arancel ad valorem del 12%. Asimismo, las originarias de Perú y Panamá tienen un arancel del 2% y 6%, respectivamente.</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que utiliza la TIGIE es la pieza y en las operaciones comerciales se utilizan indistintamente piezas o unidades.</w:t>
      </w:r>
    </w:p>
    <w:p w:rsidR="00000000" w:rsidDel="00000000" w:rsidP="00000000" w:rsidRDefault="00000000" w:rsidRPr="00000000" w14:paraId="0000002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Proceso productivo</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Los principales insumos utilizados en la fabricación de bicicletas son tubos de acero de alta resistencia, acero aleado y aluminio en diferentes diámetros, pintura, llantas y cámaras en diferentes diámetros, rines, rayos, asientos, sistemas de frenos, mazas, cadenas y pedales.</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El proceso de fabricación del producto objeto de examen consta de las siguientes etapas:</w:t>
      </w:r>
    </w:p>
    <w:p w:rsidR="00000000" w:rsidDel="00000000" w:rsidP="00000000" w:rsidRDefault="00000000" w:rsidRPr="00000000" w14:paraId="00000028">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Formación del cuadro y tijera: En esta etapa del proceso se realiza el corte, doblado y soldado del tubo (de acero o aluminio), conforme al tipo de cuadro y tijera a producir.</w:t>
      </w:r>
    </w:p>
    <w:p w:rsidR="00000000" w:rsidDel="00000000" w:rsidP="00000000" w:rsidRDefault="00000000" w:rsidRPr="00000000" w14:paraId="00000029">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Limpieza y aplicación de pintura: En esta etapa se realiza la limpieza y lavado de los cuadros y tijeras para posteriormente ser galvanizados o pintados y finalmente ser enviados a la línea de ensamble de la bicicleta.</w:t>
      </w:r>
    </w:p>
    <w:p w:rsidR="00000000" w:rsidDel="00000000" w:rsidP="00000000" w:rsidRDefault="00000000" w:rsidRPr="00000000" w14:paraId="0000002A">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Armado de rines: En esta etapa se realiza el enrayado de los rines y la colocación de niples, cámaras y llantas; simultáneamente a este proceso se colocan en el cuadro la taza de centro, eje y la multiplicación. En otras áreas se instalan los conos y la taza de dirección para la tijera.</w:t>
      </w:r>
    </w:p>
    <w:p w:rsidR="00000000" w:rsidDel="00000000" w:rsidP="00000000" w:rsidRDefault="00000000" w:rsidRPr="00000000" w14:paraId="0000002B">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Ensamble de bicicleta: Todos los materiales obtenidos en las etapas anteriores son enviados a la línea de ensamble para el armado final de la bicicleta. En esta etapa se incorporan todas las demás partes de la bicicleta: velocidades, pedales, cadena, asientos, frenos y accesorios, entre otros.</w:t>
      </w:r>
    </w:p>
    <w:p w:rsidR="00000000" w:rsidDel="00000000" w:rsidP="00000000" w:rsidRDefault="00000000" w:rsidRPr="00000000" w14:paraId="0000002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Normas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producto objeto de examen debe cumplir con la Norma Oficial Mexicana NOM-015-SCFI-2007 de Información Comercial-Etiquetado para Juguetes, misma que establece la información comercial que deben incluir los juguetes que se comercialicen en México. También es aplicable la norma NMX-D-198/1-1984 (Autotransporte-Bicicletas-Terminología), que establece los términos y las definiciones empleados en los diferentes tipos de bicicletas.</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En el ámbito internacional existen las normas ISO 8098:2002 sobre Requisitos de Seguridad para Bicicletas para Niños Pequeños (Safety Requirements for Bicycles for Young Children) y la ISO 4210-1996 sobre Requisitos de Seguridad para Bicicletas (Safety Requirements of Bicycles), que establecen los requerimientos de seguridad, funcionamiento (desempeño) y métodos de prueba para el diseño, ensamble y pruebas para bicicletas.</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Usos y funciones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Las bicicletas para niños objeto de examen se usan como medio de transporte y recreo, así como en</w:t>
      </w:r>
    </w:p>
    <w:p w:rsidR="00000000" w:rsidDel="00000000" w:rsidP="00000000" w:rsidRDefault="00000000" w:rsidRPr="00000000" w14:paraId="00000031">
      <w:pPr>
        <w:shd w:fill="ffffff" w:val="clear"/>
        <w:spacing w:after="80" w:lineRule="auto"/>
        <w:jc w:val="both"/>
        <w:rPr>
          <w:color w:val="2f2f2f"/>
          <w:sz w:val="18"/>
          <w:szCs w:val="18"/>
        </w:rPr>
      </w:pPr>
      <w:r w:rsidDel="00000000" w:rsidR="00000000" w:rsidRPr="00000000">
        <w:rPr>
          <w:color w:val="2f2f2f"/>
          <w:sz w:val="18"/>
          <w:szCs w:val="18"/>
          <w:rtl w:val="0"/>
        </w:rPr>
        <w:t xml:space="preserve">actividades deportivas.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Posibles partes interesadas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Las partes de que la Secretaría tiene conocimiento y que podrían tener interés en comparecer al presente procedimiento, son las siguientes:</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Distribuidora de Bicicletas Benotto, S.A. de C.V.</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Motos y Bicicletas Goray, S.A. de C.V.</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Bicicletas Mercurio, S.A. de C.V.</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Bicicletas Supermex, S.A. de C.V.</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Bicicletas Veloci, S.A. de C.V.</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Corporativo La Bici, S.A. de C.V.</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Bicicletas Cinelli, S.A. de C.V.</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Rebimo de Guadalajara, S.A. de C.V.</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Martín Mendalde No. 1755-PB</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Comercializadora México Americana, S. de R.L. de C.V.</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Camino a Nextengo No. 78</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Col. Santa Cruz Acayucan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02770, Ciudad de México</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Exportadoras</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Huffy Corporation</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Centerville Business Parkway 6551</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Dayton</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45459, Ohio, USA</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Kent International Inc.</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60 East Halsey Road 3705</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Parsippany</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07054, New Jersey, USA</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Otro</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Asociación Nacional de Fabricantes de Bicicletas, A.C.</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Martín Mendalde No. 1755-PB</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5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16. </w:t>
      </w:r>
      <w:r w:rsidDel="00000000" w:rsidR="00000000" w:rsidRPr="00000000">
        <w:rPr>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17. </w:t>
      </w:r>
      <w:r w:rsidDel="00000000" w:rsidR="00000000" w:rsidRPr="00000000">
        <w:rPr>
          <w:sz w:val="18"/>
          <w:szCs w:val="18"/>
          <w:rtl w:val="0"/>
        </w:rPr>
        <w:t xml:space="preserve">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5E">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18. </w:t>
      </w:r>
      <w:r w:rsidDel="00000000" w:rsidR="00000000" w:rsidRPr="00000000">
        <w:rPr>
          <w:sz w:val="18"/>
          <w:szCs w:val="18"/>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6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19. </w:t>
      </w:r>
      <w:r w:rsidDel="00000000" w:rsidR="00000000" w:rsidRPr="00000000">
        <w:rPr>
          <w:sz w:val="18"/>
          <w:szCs w:val="18"/>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20. </w:t>
      </w:r>
      <w:r w:rsidDel="00000000" w:rsidR="00000000" w:rsidRPr="00000000">
        <w:rPr>
          <w:sz w:val="18"/>
          <w:szCs w:val="18"/>
          <w:rtl w:val="0"/>
        </w:rPr>
        <w:t xml:space="preserve">En el presente caso, Benotto, Goray, Mercurio, Supermex, Veloci, La Bici, Cinelli y Rebimo, en su calidad de productores nacionales del producto objeto de examen, manifestaron en tiempo y forma su interés en que se inicie el examen de vigencia de la cuota compensatoria definitiva impuesta a las importaciones de bicicletas para niños originarias de China, por lo que se actualizan los supuestos previstos en la legislación de la materia y, en consecuencia, procede iniciarlo.</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6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21. </w:t>
      </w:r>
      <w:r w:rsidDel="00000000" w:rsidR="00000000" w:rsidRPr="00000000">
        <w:rPr>
          <w:sz w:val="18"/>
          <w:szCs w:val="18"/>
          <w:rtl w:val="0"/>
        </w:rPr>
        <w:t xml:space="preserve">La ANAFABI y las productoras nacionales Benotto, Goray, Mercurio, Supermex, Veloci, La Bici, Cinelli y Rebimo propusieron como periodo de examen el comprendido del 1 de julio de 2019 al 30 de junio de 2020. Al respecto, la Secretaría determina fijar como periodo de examen el comprendido del 1 de octubre de 2019 al 30 de septiembre de 2020 y como periodo de análisis el comprendido del 1 de octubre de 2015 al 30 de septiembre de 2020, toda vez que éstos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22. </w:t>
      </w:r>
      <w:r w:rsidDel="00000000" w:rsidR="00000000" w:rsidRPr="00000000">
        <w:rPr>
          <w:sz w:val="18"/>
          <w:szCs w:val="18"/>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6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23. </w:t>
      </w:r>
      <w:r w:rsidDel="00000000" w:rsidR="00000000" w:rsidRPr="00000000">
        <w:rPr>
          <w:sz w:val="18"/>
          <w:szCs w:val="18"/>
          <w:rtl w:val="0"/>
        </w:rPr>
        <w:t xml:space="preserve">Se declara el inicio del procedimiento administrativo de examen de vigencia de la cuota compensatoria definitiva impuesta a las importaciones de bicicletas para niños originarias de China, independientemente del país de procedencia, que ingresan a través de la fracción arancelaria 8712.00.02 de la TIGIE, o por cualquier otra.</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 </w:t>
      </w:r>
      <w:r w:rsidDel="00000000" w:rsidR="00000000" w:rsidRPr="00000000">
        <w:rPr>
          <w:sz w:val="18"/>
          <w:szCs w:val="18"/>
          <w:rtl w:val="0"/>
        </w:rPr>
        <w:t xml:space="preserve">Se fija como periodo de examen el comprendido del 1 de octubre de 2019 al 30 de septiembre de 2020 y como periodo de análisis del 1 de octubre de 2015 al 30 de septiembre de 2020.</w:t>
      </w:r>
    </w:p>
    <w:p w:rsidR="00000000" w:rsidDel="00000000" w:rsidP="00000000" w:rsidRDefault="00000000" w:rsidRPr="00000000" w14:paraId="00000068">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25. </w:t>
      </w:r>
      <w:r w:rsidDel="00000000" w:rsidR="00000000" w:rsidRPr="00000000">
        <w:rPr>
          <w:sz w:val="18"/>
          <w:szCs w:val="18"/>
          <w:rtl w:val="0"/>
        </w:rPr>
        <w:t xml:space="preserve">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26. </w:t>
      </w:r>
      <w:r w:rsidDel="00000000" w:rsidR="00000000" w:rsidRPr="00000000">
        <w:rPr>
          <w:sz w:val="18"/>
          <w:szCs w:val="18"/>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 </w:t>
      </w:r>
      <w:r w:rsidDel="00000000" w:rsidR="00000000" w:rsidRPr="00000000">
        <w:rPr>
          <w:color w:val="2f2f2f"/>
          <w:sz w:val="18"/>
          <w:szCs w:val="18"/>
          <w:rtl w:val="0"/>
        </w:rPr>
        <w:t xml:space="preserve">o mediante diverso que la Secretaría publique con posterioridad</w:t>
      </w:r>
      <w:r w:rsidDel="00000000" w:rsidR="00000000" w:rsidRPr="00000000">
        <w:rPr>
          <w:sz w:val="18"/>
          <w:szCs w:val="18"/>
          <w:rtl w:val="0"/>
        </w:rPr>
        <w:t xml:space="preserve">.</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27. </w:t>
      </w:r>
      <w:r w:rsidDel="00000000" w:rsidR="00000000" w:rsidRPr="00000000">
        <w:rPr>
          <w:sz w:val="18"/>
          <w:szCs w:val="18"/>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28. </w:t>
      </w:r>
      <w:r w:rsidDel="00000000" w:rsidR="00000000" w:rsidRPr="00000000">
        <w:rPr>
          <w:sz w:val="18"/>
          <w:szCs w:val="18"/>
          <w:rtl w:val="0"/>
        </w:rPr>
        <w:t xml:space="preserve">Notifíquese la presente Resolución a las partes interesadas de que se tenga conocimiento.</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29. </w:t>
      </w:r>
      <w:r w:rsidDel="00000000" w:rsidR="00000000" w:rsidRPr="00000000">
        <w:rPr>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30. </w:t>
      </w:r>
      <w:r w:rsidDel="00000000" w:rsidR="00000000" w:rsidRPr="00000000">
        <w:rPr>
          <w:sz w:val="18"/>
          <w:szCs w:val="18"/>
          <w:rtl w:val="0"/>
        </w:rPr>
        <w:t xml:space="preserve">La presente Resolución entrará en vigor al día siguiente de su publicación en el DOF.</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9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70">
      <w:pPr>
        <w:jc w:val="both"/>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