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Nayarit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NAYARIT.</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Nayarit</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Nayarit,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61, 69, fracción XXXII, 72 y 75 de la Constitución Política del Estado Libre y Soberano de Nayarit, y 1, 13, 15, 17, 30, fracción X, 31, fracciones I y II, 32 y 33, fracciones XVI, XVII, XXXII, XXXIX, XL y LXXXIX de la Ley Orgánica del Poder Ejecutivo del Estado, ambas partes</w:t>
      </w:r>
    </w:p>
    <w:p w:rsidR="00000000" w:rsidDel="00000000" w:rsidP="00000000" w:rsidRDefault="00000000" w:rsidRPr="00000000" w14:paraId="0000000D">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w:t>
      </w:r>
    </w:p>
    <w:p w:rsidR="00000000" w:rsidDel="00000000" w:rsidP="00000000" w:rsidRDefault="00000000" w:rsidRPr="00000000" w14:paraId="0000000F">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Nayarit</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 actualización y cumplimiento de las obligaciones fiscales 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mayo de 2020.- Por el Estado: el Gobernador Constitucional, </w:t>
      </w:r>
      <w:r w:rsidDel="00000000" w:rsidR="00000000" w:rsidRPr="00000000">
        <w:rPr>
          <w:rFonts w:ascii="Verdana" w:cs="Verdana" w:eastAsia="Verdana" w:hAnsi="Verdana"/>
          <w:b w:val="1"/>
          <w:color w:val="2f2f2f"/>
          <w:sz w:val="20"/>
          <w:szCs w:val="20"/>
          <w:rtl w:val="0"/>
        </w:rPr>
        <w:t xml:space="preserve">Antonio Echevarría García</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José Antonio Serrano Guzmán</w:t>
      </w:r>
      <w:r w:rsidDel="00000000" w:rsidR="00000000" w:rsidRPr="00000000">
        <w:rPr>
          <w:rFonts w:ascii="Verdana" w:cs="Verdana" w:eastAsia="Verdana" w:hAnsi="Verdana"/>
          <w:color w:val="2f2f2f"/>
          <w:sz w:val="20"/>
          <w:szCs w:val="20"/>
          <w:rtl w:val="0"/>
        </w:rPr>
        <w:t xml:space="preserve">.- Rúbrica.- El Secretario de Administración y Finanzas, </w:t>
      </w:r>
      <w:r w:rsidDel="00000000" w:rsidR="00000000" w:rsidRPr="00000000">
        <w:rPr>
          <w:rFonts w:ascii="Verdana" w:cs="Verdana" w:eastAsia="Verdana" w:hAnsi="Verdana"/>
          <w:b w:val="1"/>
          <w:color w:val="2f2f2f"/>
          <w:sz w:val="20"/>
          <w:szCs w:val="20"/>
          <w:rtl w:val="0"/>
        </w:rPr>
        <w:t xml:space="preserve">Juan Luis Chumacero Díaz</w:t>
      </w:r>
      <w:r w:rsidDel="00000000" w:rsidR="00000000" w:rsidRPr="00000000">
        <w:rPr>
          <w:rFonts w:ascii="Verdana" w:cs="Verdana" w:eastAsia="Verdana" w:hAnsi="Verdana"/>
          <w:color w:val="2f2f2f"/>
          <w:sz w:val="20"/>
          <w:szCs w:val="20"/>
          <w:rtl w:val="0"/>
        </w:rPr>
        <w:t xml:space="preserve">.- Rúbrica.- Por la</w:t>
      </w:r>
    </w:p>
    <w:p w:rsidR="00000000" w:rsidDel="00000000" w:rsidP="00000000" w:rsidRDefault="00000000" w:rsidRPr="00000000" w14:paraId="00000029">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B">
      <w:pPr>
        <w:rPr>
          <w:rFonts w:ascii="Verdana" w:cs="Verdana" w:eastAsia="Verdana" w:hAnsi="Verdana"/>
          <w:color w:val="2f2f2f"/>
          <w:sz w:val="20"/>
          <w:szCs w:val="20"/>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