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Hidalgo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w:t>
      </w:r>
      <w:r w:rsidDel="00000000" w:rsidR="00000000" w:rsidRPr="00000000">
        <w:rPr>
          <w:i w:val="1"/>
          <w:color w:val="2f2f2f"/>
          <w:sz w:val="16"/>
          <w:szCs w:val="16"/>
          <w:rtl w:val="0"/>
        </w:rPr>
        <w:t xml:space="preserve">SEGUNDA ETAPA DE IMPLEMENTACIÓN DE LA REFORMA AL SISTEMA DE JUSTICIA LABORAL" </w:t>
      </w:r>
      <w:r w:rsidDel="00000000" w:rsidR="00000000" w:rsidRPr="00000000">
        <w:rPr>
          <w:color w:val="2f2f2f"/>
          <w:sz w:val="16"/>
          <w:szCs w:val="16"/>
          <w:rtl w:val="0"/>
        </w:rPr>
        <w:t xml:space="preserve">QUE CELEBRAN, POR UNA PARTE, EL EJECUTIVO FEDERAL, A TRÁVES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ESTADO DE HIDALGO, EN ADELANTE "EL GOBIERNO DEL ESTADO", A TRAVÉS DE LA SECRETARÍA DE GOBIERNO, REPRESENTADA POR EL LIC. SIMÓN VARGAS AGUILAR, ASISTIDO POR LA SECRETARÍA DE FINANZAS PÚBLICAS, REPRESENTADA POR LA DRA. DELIA JESSICA BLANCAS HIDALGO, LA SECRETARÍA DEL TRABAJO Y PREVISIÓN SOCIAL, REPRESENTADA POR LA MTRA. MARÍA DE LOS ÁNGELES EGUILUZ TAPIA, Y POR LA MAGISTRADA PRESIDENTA YANET HERRERA MENESES, REPRESENTANTE DEL PODER JUDICIAL DEL ESTADO DE HIDALGO; A QUIENES CUANDO ACTÚEN CONJUNTAMENTE SE LES DESIGNARÁ COMO "LAS PARTES", DE CONFORMIDAD CON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 fecha 1° de mayo de 2019, se publicó en el DOF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Laborales del Poder Judicial de las Entidades Federativas se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 30 de noviembre de 2020, se publicó en el DOF el Presupuesto de Egresos de la Federación para el Ejercicio Fiscal 2021; en el cual se asignaron a la Secretaría del Trabajo y Previsión Social los recursos suficientes para atender su estructura programática, dentro del cual se encuentra el </w:t>
      </w:r>
      <w:r w:rsidDel="00000000" w:rsidR="00000000" w:rsidRPr="00000000">
        <w:rPr>
          <w:b w:val="1"/>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2">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Derivado de la fracción anterior, el 29 de diciembre de 2020 se publicaron en el DOF los </w:t>
      </w:r>
      <w:r w:rsidDel="00000000" w:rsidR="00000000" w:rsidRPr="00000000">
        <w:rPr>
          <w:b w:val="1"/>
          <w:i w:val="1"/>
          <w:color w:val="2f2f2f"/>
          <w:sz w:val="18"/>
          <w:szCs w:val="18"/>
          <w:rtl w:val="0"/>
        </w:rPr>
        <w:t xml:space="preserve">Lineamientos por los que se establecen las bases y requisitos que deberán cumplir las Entidades Federativas para acceder al subsidio destinado a la segunda etapa de la implementación de la Reforma al Sistema de Justicia Laboral (Lineamientos).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a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Que, del cumplimiento en tiempo y forma de los requisitos señalados en los Lineamientos, el Comité de Evaluación determinó aprobar los Proyectos presentados por el Estado de Hidalgo, por lo que autorizó la cantidad de $29,137,074.03 (veintinueve millones ciento treinta y siete mil setenta y cuatro pesos 03/100 M.N.) para la instalación de los Centros de Conciliación y Tribunales Laborales Locales.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Dicha situación se notificó a la Entidad Federativa mediante resolución del Comité de Evaluación el 24 de mayo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las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el artículo 1 de la Constitución Política del Estado de Hidalgo, es un Estado libre y soberano en todo lo concerniente a su régimen interior y forma parte integrante de la Federación.</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Asiste en la suscripción del presente Convenio de Coordinación el Titular de la Secretaría de Gobierno, el Lic. Simón Vargas Aguilar, con fundamento en los artículos 73 y 81 de la Constitución Política del Estado Libre y Soberano de Hidalgo; 3, 13 fracción I de la Ley Orgánica de la Administración Pública del Estado de Hidalgo y 12, del Reglamento Interior de la Secretaría de Gobierno.</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los artículos 73, 81 de la Constitución Política del Estado Libre y Soberano de Hidalgo; 3, y 13 fracción II de la Ley Orgánica de la Administración Pública del Estado de Hidalgo; 14 fracción XXXVIII del Reglamento Interior de la Secretaría de Finanzas Públicas, la Dra. Delia Jessica Blancas Hidalgo, en su carácter de Secretaria de Finanzas Públicas del Estado de Hidalgo, se encuentra facultada para suscribir el presente Convenio.</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los artículos 73, 81 de la Constitución Política del Estado Libre y Soberano de Hidalgo; 3, 13 fracción XIV y 37 fracción I de la Ley Orgánica de la Administración Pública del Estado de Hidalgo; 10, fracción III del Reglamento Interior de la Secretaría de Trabajo, la Mtra. María de los Ángeles Eguiluz Tapia, en su carácter de Secretaria del Trabajo del Estado de Hidalgo, se encuentra facultada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II.5. </w:t>
      </w:r>
      <w:r w:rsidDel="00000000" w:rsidR="00000000" w:rsidRPr="00000000">
        <w:rPr>
          <w:color w:val="2f2f2f"/>
          <w:sz w:val="18"/>
          <w:szCs w:val="18"/>
          <w:rtl w:val="0"/>
        </w:rPr>
        <w:t xml:space="preserve">La Magistrada Presidenta Yanet Herrera Meneses, representante del Poder Judicial del Estado de Hidalgo, cuenta con facultades para suscribir el presente instrumento jurídico en términos de lo dispuesto en los artículos 93 y 100, de la Constitución Política del Estado Libre y Soberano de Hidalgo, 20 y 119 de la Ley Orgánica del Poder Judicial, que para los efectos del presente instrumentos, tiene su domicilio en Carretera México-Pachuca, km. 84.5, Sector Primario, C.P. 42080, Pachuca de Soto, Hidalgo.</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Cuenta con la capacidad económica presupuestal para que, de ser el caso, aporte recursos que serán destinados a la implementación de la Reforma al Sistema de Justicia Laboral, para la creación del Centro de Conciliación local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18"/>
          <w:szCs w:val="18"/>
          <w:rtl w:val="0"/>
        </w:rPr>
        <w:t xml:space="preserve"> Para los efectos del presente instrumento, tiene como domicilio legal el ubicado en Boulevard Luis Donaldo Colosio, Número 216, Fraccionamiento Arboledas de San Javier, C.P. 42084, Pachuca de Soto, Estado de Hidalgo.</w:t>
      </w:r>
    </w:p>
    <w:p w:rsidR="00000000" w:rsidDel="00000000" w:rsidP="00000000" w:rsidRDefault="00000000" w:rsidRPr="00000000" w14:paraId="0000002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al nuevo Centro de Conciliación y Tribunales Laborales Locales.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presente Convenio de Coordinación tiene por objeto el otorgamiento de los recursos autorizados al Estado de Hidalgo para la Implementación de la Reforma al Sistema de Justicia Laboral, a través de la creación del Centro de Conciliación Local, especializado e imparcial;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ASIGNACIÓN DE LOS RECURSOS. Para el cumplimiento del objeto señalado en la cláusula anterior, "LA SECRETARÍA" asignará la cantidad de $29,137,074.03 (Veintinueve millones ciento treinta y siete mil setenta y cuatro pesos 03/100 M.N.) correspondiente al recurso autorizado por el Comité de Evaluación, de los cuales $13,998,795.89 (Trece millones novecientos noventa y ocho mil setecientos noventa y cinco pesos 89/100 M.N) serán destinados para la creación del Centro de Conciliación Local; y $15,138,278.14 (Quince millones ciento treinta y ocho mil doscientos setenta y ocho pesos 14/100 M.N) para la creación de los Tribunales Laborales Locales en el Estado de Hidalgo.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del Trabajo y del Poder Judicial del Estado, según corresponda.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Finanzas Públicas, en la cuenta bancaria especifica que se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6345"/>
        <w:tblGridChange w:id="0">
          <w:tblGrid>
            <w:gridCol w:w="2460"/>
            <w:gridCol w:w="63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rtl w:val="0"/>
              </w:rPr>
              <w:t xml:space="preserve">290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Banco Mercantil del Norte, S.A., Institución de Banca Múltiple, Grupo Financiero Banorte.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1152976069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072290011529760690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GEH690116NV7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Plaza Juárez, S/N, Colonia Centro, C.P. 42000, Pachuca de Soto, Hidalgo.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Programa de subsidio para la Implementación de la segunda etapa de la Reforma al Sistema de Justicia Laboral 2021 para la creación del Centro de Conciliación del Estado de Hidalgo"</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 la Entidad Federativa será beneficiario de los recursos otorgados cuando se haya presentado un Proyecto para la creación de Tribunales Laborales.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la Secretaría de Finanzas Públicas se compromete a transferir al Poder Judicial del estado la cantidad requerida, en la cuenta que se aperturó conforme a lo que establece el numeral Vigésimo segundo, inciso b, y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80"/>
        <w:tblGridChange w:id="0">
          <w:tblGrid>
            <w:gridCol w:w="2325"/>
            <w:gridCol w:w="648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290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sz w:val="18"/>
                <w:szCs w:val="18"/>
              </w:rPr>
            </w:pPr>
            <w:r w:rsidDel="00000000" w:rsidR="00000000" w:rsidRPr="00000000">
              <w:rPr>
                <w:sz w:val="18"/>
                <w:szCs w:val="18"/>
                <w:rtl w:val="0"/>
              </w:rPr>
              <w:t xml:space="preserve">Banco Nacional de México, S.A. (Citibanamex)</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70166655011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rtl w:val="0"/>
              </w:rPr>
              <w:t xml:space="preserve">002290701666550111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sz w:val="18"/>
                <w:szCs w:val="18"/>
                <w:rtl w:val="0"/>
              </w:rPr>
              <w:t xml:space="preserve">PJE980509IP4</w:t>
            </w:r>
          </w:p>
        </w:tc>
      </w:tr>
    </w:tbl>
    <w:p w:rsidR="00000000" w:rsidDel="00000000" w:rsidP="00000000" w:rsidRDefault="00000000" w:rsidRPr="00000000" w14:paraId="00000050">
      <w:pPr>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6495"/>
        <w:tblGridChange w:id="0">
          <w:tblGrid>
            <w:gridCol w:w="2295"/>
            <w:gridCol w:w="64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sz w:val="18"/>
                <w:szCs w:val="18"/>
              </w:rPr>
            </w:pPr>
            <w:r w:rsidDel="00000000" w:rsidR="00000000" w:rsidRPr="00000000">
              <w:rPr>
                <w:sz w:val="18"/>
                <w:szCs w:val="18"/>
                <w:rtl w:val="0"/>
              </w:rPr>
              <w:t xml:space="preserve">Carretera México-Pachuca, km. 84.5, Sector Primario, C.P. 42080, Pachuca de Soto, Hidalgo</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i w:val="1"/>
                <w:sz w:val="18"/>
                <w:szCs w:val="18"/>
              </w:rPr>
            </w:pPr>
            <w:r w:rsidDel="00000000" w:rsidR="00000000" w:rsidRPr="00000000">
              <w:rPr>
                <w:i w:val="1"/>
                <w:sz w:val="18"/>
                <w:szCs w:val="18"/>
                <w:rtl w:val="0"/>
              </w:rPr>
              <w:t xml:space="preserve">"Programa para la implementación de la Reforma al Sistema de Justicia Laboral para la creación del Tribunal de Justicia Laboral en el Distrito Judicial de Pachuca, Hidalgo".</w:t>
            </w:r>
          </w:p>
        </w:tc>
      </w:tr>
    </w:tbl>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Finanzas Públicas, a "LA SECRETARÍA" la solicitud de transferencia de recursos con los requisitos señalados en el numeral Vigésimo quinto, de los Lineamientos.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validada por la Secretaria de Finanzas Públicas,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éstos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éstas se comprometen a deslindar a "LA SECRETARÍA" de cualquier controversia que en su caso derive de estas contrataciones.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COMPROMISO DE "LAS PARTES".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COMPROMISOS DE "LA SECRETARÍA". "LA SECRETARÍA", a través de la UERSJL, se obliga 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COMPROMISOS DE "EL GOBIERNO DEL ESTADO". "EL GOBIERNO DEL ESTADO" se compromete a:</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Destinar por conducto de la Secretaría del Trabajo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La información sobre el ejercicio, destino y resultados obtenidos con los recursos del subsidio;</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La disponibilidad financiera con la que cuente y el recurso del subsidio autorizado, comprometido, devengado, ejercido pagado y disponible el cual deberá ser validado por la Secretaría de Finanzas Públicas de la Entidad Federativa, y soportado con la documentación inherente al Proyecto que corresponda (instalación de Centros de Conciliación o Tribunales Laborales locales).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Los instrumentos contractuales correspondientes a los procesos de adjudicación realizados en el periodo reportado.</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Los comprobantes fiscales en términos de las leyes aplicables y la verificación de estos en la página de Sistema de Administración Tributaria (SAT).</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Los estados de cuenta bancarios del periodo reportado.</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Los reportes también deberán hacer mención del avance del Proyecto con su debido soporte documental</w:t>
      </w:r>
      <w:r w:rsidDel="00000000" w:rsidR="00000000" w:rsidRPr="00000000">
        <w:rPr>
          <w:b w:val="1"/>
          <w:color w:val="2f2f2f"/>
          <w:sz w:val="18"/>
          <w:szCs w:val="18"/>
          <w:rtl w:val="0"/>
        </w:rPr>
        <w:t xml:space="preserve">.</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k.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m.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 Las o los servidores públicos que fungirán como enlaces entre "LAS PARTES" serán, por "EL GOBIERNO DEL ESTADO" el designado por la Secretaria del Trabajo y el designado por la Presidenta del Tribunal Superior de Justicia del Estado, y por "LA SECRETARÍA", la persona designada por la UERSJL.</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REINTEGRO DE LOS RECURSOS.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SANCIONES POR EL INCUMPLIMIENTO.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CASO FORTUITO O FUERZA MAYOR.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cambios al Convenio de Coordinación que "EL GOBIERNO DEL ESTADO" pretenda realizar solo podrán llevarse a cabo bajo los siguientes supuestos: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La adición o eliminación de algún rubro en los Proyectos; y</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La modificación de los montos destinados a cada rubro de los diferentes Proyectos.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 </w:t>
      </w:r>
      <w:r w:rsidDel="00000000" w:rsidR="00000000" w:rsidRPr="00000000">
        <w:rPr>
          <w:color w:val="2f2f2f"/>
          <w:sz w:val="18"/>
          <w:szCs w:val="18"/>
          <w:rtl w:val="0"/>
        </w:rPr>
        <w:t xml:space="preserve">TERMINACIÓN ANTICIPADA. El presente Convenio de Coordinación podrá darse por terminado anticipadamente, cuando se presente alguno de los siguientes supuestos: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 </w:t>
      </w:r>
      <w:r w:rsidDel="00000000" w:rsidR="00000000" w:rsidRPr="00000000">
        <w:rPr>
          <w:color w:val="2f2f2f"/>
          <w:sz w:val="18"/>
          <w:szCs w:val="18"/>
          <w:rtl w:val="0"/>
        </w:rPr>
        <w:t xml:space="preserve">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 </w:t>
      </w:r>
      <w:r w:rsidDel="00000000" w:rsidR="00000000" w:rsidRPr="00000000">
        <w:rPr>
          <w:color w:val="2f2f2f"/>
          <w:sz w:val="18"/>
          <w:szCs w:val="18"/>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México a los 31 días del mes de mayo de dos mil veintiuno.- Poder Ejecutivo, STPS: el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Gobierno del Estado: el Titular de la Secretaría de Gobierno del Estado de Hidalgo, Lic.</w:t>
      </w:r>
      <w:r w:rsidDel="00000000" w:rsidR="00000000" w:rsidRPr="00000000">
        <w:rPr>
          <w:b w:val="1"/>
          <w:color w:val="2f2f2f"/>
          <w:sz w:val="18"/>
          <w:szCs w:val="18"/>
          <w:rtl w:val="0"/>
        </w:rPr>
        <w:t xml:space="preserve"> Simón Vargas Aguilar</w:t>
      </w:r>
      <w:r w:rsidDel="00000000" w:rsidR="00000000" w:rsidRPr="00000000">
        <w:rPr>
          <w:color w:val="2f2f2f"/>
          <w:sz w:val="18"/>
          <w:szCs w:val="18"/>
          <w:rtl w:val="0"/>
        </w:rPr>
        <w:t xml:space="preserve">.- Rúbrica.- La Titular de la Secretaría del Trabajo y Previsión Social del Estado de Hidalgo, Mtra.</w:t>
      </w:r>
      <w:r w:rsidDel="00000000" w:rsidR="00000000" w:rsidRPr="00000000">
        <w:rPr>
          <w:b w:val="1"/>
          <w:color w:val="2f2f2f"/>
          <w:sz w:val="18"/>
          <w:szCs w:val="18"/>
          <w:rtl w:val="0"/>
        </w:rPr>
        <w:t xml:space="preserve"> María de los Angeles Eguiluz Tapia</w:t>
      </w:r>
      <w:r w:rsidDel="00000000" w:rsidR="00000000" w:rsidRPr="00000000">
        <w:rPr>
          <w:color w:val="2f2f2f"/>
          <w:sz w:val="18"/>
          <w:szCs w:val="18"/>
          <w:rtl w:val="0"/>
        </w:rPr>
        <w:t xml:space="preserve">.- Rúbrica.- La Titular de la Secretaría de Finanzas Públicas del Estado de Hidalgo, Dra.</w:t>
      </w:r>
      <w:r w:rsidDel="00000000" w:rsidR="00000000" w:rsidRPr="00000000">
        <w:rPr>
          <w:b w:val="1"/>
          <w:color w:val="2f2f2f"/>
          <w:sz w:val="18"/>
          <w:szCs w:val="18"/>
          <w:rtl w:val="0"/>
        </w:rPr>
        <w:t xml:space="preserve"> Delia Jessica Blancas Hidalgo</w:t>
      </w:r>
      <w:r w:rsidDel="00000000" w:rsidR="00000000" w:rsidRPr="00000000">
        <w:rPr>
          <w:color w:val="2f2f2f"/>
          <w:sz w:val="18"/>
          <w:szCs w:val="18"/>
          <w:rtl w:val="0"/>
        </w:rPr>
        <w:t xml:space="preserve">.- Rúbrica.- La Presidenta del Tribunal Superior de Justicia y del Consejo de la Judicatura del Estado de Hidalgo, Magistrada</w:t>
      </w:r>
      <w:r w:rsidDel="00000000" w:rsidR="00000000" w:rsidRPr="00000000">
        <w:rPr>
          <w:b w:val="1"/>
          <w:color w:val="2f2f2f"/>
          <w:sz w:val="18"/>
          <w:szCs w:val="18"/>
          <w:rtl w:val="0"/>
        </w:rPr>
        <w:t xml:space="preserve"> Yanet Herrera Meneses</w:t>
      </w:r>
      <w:r w:rsidDel="00000000" w:rsidR="00000000" w:rsidRPr="00000000">
        <w:rPr>
          <w:color w:val="2f2f2f"/>
          <w:sz w:val="18"/>
          <w:szCs w:val="18"/>
          <w:rtl w:val="0"/>
        </w:rPr>
        <w:t xml:space="preserve">.- Rúbrica.</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