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721" w:rsidRDefault="005E7721" w:rsidP="005E7721">
      <w:pPr>
        <w:jc w:val="center"/>
        <w:rPr>
          <w:rFonts w:ascii="Verdana" w:eastAsia="Verdana" w:hAnsi="Verdana" w:cs="Verdana"/>
          <w:b/>
          <w:color w:val="0000FF"/>
          <w:sz w:val="24"/>
          <w:szCs w:val="24"/>
        </w:rPr>
      </w:pPr>
      <w:r w:rsidRPr="005E7721">
        <w:rPr>
          <w:rFonts w:ascii="Verdana" w:eastAsia="Verdana" w:hAnsi="Verdana" w:cs="Verdana"/>
          <w:b/>
          <w:color w:val="0000FF"/>
          <w:sz w:val="24"/>
          <w:szCs w:val="24"/>
        </w:rPr>
        <w:t>ACUERDO por el que se da a conocer los días del año dos mil veintiuno (2021) en que se suspenderán plazos y términos ante el Centro Federal de Conciliación y Registro Laboral, con motivo del periodo vacacional; así como el calendario de días inhábiles para el año dos mil veintidós (2022).</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16 de diciembre</w:t>
      </w:r>
      <w:r w:rsidRPr="00575D6A">
        <w:rPr>
          <w:rFonts w:ascii="Verdana" w:eastAsia="Verdana" w:hAnsi="Verdana" w:cs="Verdana"/>
          <w:b/>
          <w:color w:val="0000FF"/>
          <w:sz w:val="24"/>
          <w:szCs w:val="24"/>
        </w:rPr>
        <w:t xml:space="preserve"> de 2021)</w:t>
      </w:r>
      <w:bookmarkEnd w:id="0"/>
    </w:p>
    <w:p w:rsidR="00B32171" w:rsidRDefault="005E7721" w:rsidP="005E7721">
      <w:pPr>
        <w:jc w:val="both"/>
        <w:rPr>
          <w:rFonts w:ascii="Arial" w:hAnsi="Arial" w:cs="Arial"/>
          <w:b/>
          <w:color w:val="262626" w:themeColor="text1" w:themeTint="D9"/>
          <w:sz w:val="18"/>
        </w:rPr>
      </w:pPr>
      <w:r w:rsidRPr="005E7721">
        <w:rPr>
          <w:rFonts w:ascii="Arial" w:hAnsi="Arial" w:cs="Arial"/>
          <w:b/>
          <w:color w:val="262626" w:themeColor="text1" w:themeTint="D9"/>
          <w:sz w:val="18"/>
        </w:rPr>
        <w:t>Al margen un sello con el Escudo Nacional, que dice: Estados Unidos Mexicanos.- Centro Federal de Conciliación y Registro Laboral.</w:t>
      </w:r>
    </w:p>
    <w:p w:rsidR="005E7721" w:rsidRPr="005E7721" w:rsidRDefault="005E7721" w:rsidP="005E7721">
      <w:pPr>
        <w:shd w:val="clear" w:color="auto" w:fill="FFFFFF"/>
        <w:spacing w:after="101" w:line="240" w:lineRule="auto"/>
        <w:ind w:firstLine="288"/>
        <w:jc w:val="both"/>
        <w:rPr>
          <w:rFonts w:ascii="Arial" w:eastAsia="Times New Roman" w:hAnsi="Arial" w:cs="Arial"/>
          <w:color w:val="2F2F2F"/>
          <w:sz w:val="18"/>
          <w:szCs w:val="18"/>
          <w:lang w:eastAsia="es-MX"/>
        </w:rPr>
      </w:pPr>
      <w:r w:rsidRPr="005E7721">
        <w:rPr>
          <w:rFonts w:ascii="Arial" w:eastAsia="Times New Roman" w:hAnsi="Arial" w:cs="Arial"/>
          <w:color w:val="2F2F2F"/>
          <w:sz w:val="18"/>
          <w:szCs w:val="18"/>
          <w:lang w:eastAsia="es-MX"/>
        </w:rPr>
        <w:t>ALFREDO DOMÍNGUEZ MARRUFO, Director General del Centro Federal de Conciliación y Registro Laboral, de conformidad con lo dispuesto por los artículos 123, apartado A, fracción XX, párrafo cuarto de la Constitución Política de los Estados Unidos Mexicanos, 590-C, fracciones I, VI y VII de la Ley Federal del Trabajo; 29 de la Ley Federal de los Trabajadores al Servicio del Estado, Reglamentaria del Apartado B) del artículo 123 Constitucional; 3, fracción I y 45 de la Ley Orgánica de la Administración Pública Federal; 2, 14, 22, fracción I, 59, fracciones V y XIV de la Ley Federal de Entidades Paraestatales; 4, 28 y 30 de la Ley Federal de Procedimiento Administrativo; 22, fracciones I, VI y VIII de la Ley Orgánica del Centro Federal de Conciliación y Registro Laboral; 2 y 15, fracción XX del Estatuto Orgánico del Centro Federal de Conciliación y Registro Laboral; ARTÍCULO TERCERO, numeral 76, fracciones II y IV del Acuerdo por el que se emiten las Disposiciones en las materias de Recursos Humanos y del Servicio Profesional de Carrera, así como el Manual Administrativo de Aplicación General en materia de Recursos Humanos y Organización y el Manual del Servicio Profesional de Carrera; y,</w:t>
      </w:r>
    </w:p>
    <w:p w:rsidR="005E7721" w:rsidRPr="005E7721" w:rsidRDefault="005E7721" w:rsidP="005E772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E7721">
        <w:rPr>
          <w:rFonts w:ascii="Times" w:eastAsia="Times New Roman" w:hAnsi="Times" w:cs="Times"/>
          <w:b/>
          <w:bCs/>
          <w:color w:val="2F2F2F"/>
          <w:sz w:val="18"/>
          <w:szCs w:val="18"/>
          <w:lang w:eastAsia="es-MX"/>
        </w:rPr>
        <w:t>CONSIDERANDO</w:t>
      </w:r>
    </w:p>
    <w:p w:rsidR="005E7721" w:rsidRPr="005E7721" w:rsidRDefault="005E7721" w:rsidP="005E7721">
      <w:pPr>
        <w:shd w:val="clear" w:color="auto" w:fill="FFFFFF"/>
        <w:spacing w:after="101" w:line="240" w:lineRule="auto"/>
        <w:ind w:firstLine="288"/>
        <w:jc w:val="both"/>
        <w:rPr>
          <w:rFonts w:ascii="Arial" w:eastAsia="Times New Roman" w:hAnsi="Arial" w:cs="Arial"/>
          <w:color w:val="2F2F2F"/>
          <w:sz w:val="18"/>
          <w:szCs w:val="18"/>
          <w:lang w:eastAsia="es-MX"/>
        </w:rPr>
      </w:pPr>
      <w:r w:rsidRPr="005E7721">
        <w:rPr>
          <w:rFonts w:ascii="Arial" w:eastAsia="Times New Roman" w:hAnsi="Arial" w:cs="Arial"/>
          <w:color w:val="2F2F2F"/>
          <w:sz w:val="18"/>
          <w:szCs w:val="18"/>
          <w:lang w:eastAsia="es-MX"/>
        </w:rPr>
        <w:t>Que la Constitución Política de los Estados Unidos Mexicanos, al consagrar el principio de seguridad jurídica impone que éste contenga los elementos mínimos para hacer valer el derecho de los particulares frente a las actuaciones de las autoridades, por lo que se les debe brindar certeza respecto de los plazos de los trámites seguidos ante éstas, en este caso, los que corresponden al Centro Federal de Conciliación y Registro Laboral (Centro Laboral);</w:t>
      </w:r>
    </w:p>
    <w:p w:rsidR="005E7721" w:rsidRPr="005E7721" w:rsidRDefault="005E7721" w:rsidP="005E7721">
      <w:pPr>
        <w:shd w:val="clear" w:color="auto" w:fill="FFFFFF"/>
        <w:spacing w:after="101" w:line="240" w:lineRule="auto"/>
        <w:ind w:firstLine="288"/>
        <w:jc w:val="both"/>
        <w:rPr>
          <w:rFonts w:ascii="Arial" w:eastAsia="Times New Roman" w:hAnsi="Arial" w:cs="Arial"/>
          <w:color w:val="2F2F2F"/>
          <w:sz w:val="18"/>
          <w:szCs w:val="18"/>
          <w:lang w:eastAsia="es-MX"/>
        </w:rPr>
      </w:pPr>
      <w:r w:rsidRPr="005E7721">
        <w:rPr>
          <w:rFonts w:ascii="Arial" w:eastAsia="Times New Roman" w:hAnsi="Arial" w:cs="Arial"/>
          <w:color w:val="2F2F2F"/>
          <w:sz w:val="18"/>
          <w:szCs w:val="18"/>
          <w:lang w:eastAsia="es-MX"/>
        </w:rPr>
        <w:t>Que dicho organismo federal tiene por objeto sustanciar el procedimiento de conciliación que deben agotar los trabajadores y patrones, en asuntos individuales y colectivos del orden federal, conforme lo establece el artículo 123, apartado A, fracción XX de la Constitución Política de los Estados Unidos Mexicanos; y que, además, tiene a su cargo el registro a nivel nacional de todos los contratos colectivos de trabajo, contratos-ley, reglamentos interiores de trabajo y las organizaciones sindicales, así como todos los procesos administrativos relacionados;</w:t>
      </w:r>
    </w:p>
    <w:p w:rsidR="005E7721" w:rsidRPr="005E7721" w:rsidRDefault="005E7721" w:rsidP="005E7721">
      <w:pPr>
        <w:shd w:val="clear" w:color="auto" w:fill="FFFFFF"/>
        <w:spacing w:after="101" w:line="240" w:lineRule="auto"/>
        <w:ind w:firstLine="288"/>
        <w:jc w:val="both"/>
        <w:rPr>
          <w:rFonts w:ascii="Arial" w:eastAsia="Times New Roman" w:hAnsi="Arial" w:cs="Arial"/>
          <w:color w:val="2F2F2F"/>
          <w:sz w:val="18"/>
          <w:szCs w:val="18"/>
          <w:lang w:eastAsia="es-MX"/>
        </w:rPr>
      </w:pPr>
      <w:r w:rsidRPr="005E7721">
        <w:rPr>
          <w:rFonts w:ascii="Arial" w:eastAsia="Times New Roman" w:hAnsi="Arial" w:cs="Arial"/>
          <w:color w:val="2F2F2F"/>
          <w:sz w:val="18"/>
          <w:szCs w:val="18"/>
          <w:lang w:eastAsia="es-MX"/>
        </w:rPr>
        <w:t>Que la Ley Federal de Procedimiento Administrativo establece en su artículo 28 que las actuaciones y diligencias administrativas se practicarán en días y horas hábiles, no considerando como tales los sábados y domingos, así como el 1o. de enero, 5 de febrero, 21 de marzo, 1o. de mayo, 5 de mayo, 1o. y 16 de septiembre, 20 de noviembre, 25 de diciembre y 1o. de diciembre de cada seis años, cuando corresponda a la transmisión del Poder Ejecutivo Federal; así como los días en que tengan vacaciones generales las autoridades competentes o aquéllos en que se suspendan las labores, los que se harán del conocimiento público mediante acuerdo del titular de la Dependencia respectiva, que se publicará en el Diario Oficial de la Federación (DOF);</w:t>
      </w:r>
    </w:p>
    <w:p w:rsidR="005E7721" w:rsidRPr="005E7721" w:rsidRDefault="005E7721" w:rsidP="005E7721">
      <w:pPr>
        <w:shd w:val="clear" w:color="auto" w:fill="FFFFFF"/>
        <w:spacing w:after="101" w:line="240" w:lineRule="auto"/>
        <w:ind w:firstLine="288"/>
        <w:jc w:val="both"/>
        <w:rPr>
          <w:rFonts w:ascii="Arial" w:eastAsia="Times New Roman" w:hAnsi="Arial" w:cs="Arial"/>
          <w:color w:val="2F2F2F"/>
          <w:sz w:val="18"/>
          <w:szCs w:val="18"/>
          <w:lang w:eastAsia="es-MX"/>
        </w:rPr>
      </w:pPr>
      <w:r w:rsidRPr="005E7721">
        <w:rPr>
          <w:rFonts w:ascii="Arial" w:eastAsia="Times New Roman" w:hAnsi="Arial" w:cs="Arial"/>
          <w:color w:val="2F2F2F"/>
          <w:sz w:val="18"/>
          <w:szCs w:val="18"/>
          <w:lang w:eastAsia="es-MX"/>
        </w:rPr>
        <w:t>Que el artículo tercero, numeral 76, fracciones II y IV del "Acuerdo por el que se emiten las Disposiciones en las materias de Recursos Humanos y del Servicio Profesional de Carrera, así como el Manual Administrativo de Aplicación General en materia de Recursos Humanos y Organización y el Manual del Servicio Profesional de Carrera", dispone que se considerarán días inhábiles, entre otros, aquéllos en que tengan vacaciones generales las autoridades competentes, aquéllos en que se suspendan labores, y los previstos por la Secretaría de Gobernación en el calendario oficial, así como que la suspensión de labores de las Instituciones se deberá publicar en el DOF, con el fin de no afectar la prestación de servicios al público;</w:t>
      </w:r>
    </w:p>
    <w:p w:rsidR="005E7721" w:rsidRPr="005E7721" w:rsidRDefault="005E7721" w:rsidP="005E7721">
      <w:pPr>
        <w:shd w:val="clear" w:color="auto" w:fill="FFFFFF"/>
        <w:spacing w:after="101" w:line="240" w:lineRule="auto"/>
        <w:ind w:firstLine="288"/>
        <w:jc w:val="both"/>
        <w:rPr>
          <w:rFonts w:ascii="Arial" w:eastAsia="Times New Roman" w:hAnsi="Arial" w:cs="Arial"/>
          <w:color w:val="2F2F2F"/>
          <w:sz w:val="18"/>
          <w:szCs w:val="18"/>
          <w:lang w:eastAsia="es-MX"/>
        </w:rPr>
      </w:pPr>
      <w:r w:rsidRPr="005E7721">
        <w:rPr>
          <w:rFonts w:ascii="Arial" w:eastAsia="Times New Roman" w:hAnsi="Arial" w:cs="Arial"/>
          <w:color w:val="2F2F2F"/>
          <w:sz w:val="18"/>
          <w:szCs w:val="18"/>
          <w:lang w:eastAsia="es-MX"/>
        </w:rPr>
        <w:t>Que el artículo 29 de la Ley Federal de los Trabajadores al Servicio del Estado, Reglamentaria del Apartado B) del artículo 123 Constitucional, establece que serán días de descanso obligatorio para los trabajadores que presten sus servicios en el Gobierno Federal los que señale el Calendario Oficial y los que determinen las Leyes Federales y Locales Electorales, en el caso de elecciones ordinarias, para efectuar la jornada electoral;</w:t>
      </w:r>
    </w:p>
    <w:p w:rsidR="005E7721" w:rsidRPr="005E7721" w:rsidRDefault="005E7721" w:rsidP="005E7721">
      <w:pPr>
        <w:shd w:val="clear" w:color="auto" w:fill="FFFFFF"/>
        <w:spacing w:after="101" w:line="240" w:lineRule="auto"/>
        <w:ind w:firstLine="288"/>
        <w:jc w:val="both"/>
        <w:rPr>
          <w:rFonts w:ascii="Arial" w:eastAsia="Times New Roman" w:hAnsi="Arial" w:cs="Arial"/>
          <w:color w:val="2F2F2F"/>
          <w:sz w:val="18"/>
          <w:szCs w:val="18"/>
          <w:lang w:eastAsia="es-MX"/>
        </w:rPr>
      </w:pPr>
      <w:r w:rsidRPr="005E7721">
        <w:rPr>
          <w:rFonts w:ascii="Arial" w:eastAsia="Times New Roman" w:hAnsi="Arial" w:cs="Arial"/>
          <w:color w:val="2F2F2F"/>
          <w:sz w:val="18"/>
          <w:szCs w:val="18"/>
          <w:lang w:eastAsia="es-MX"/>
        </w:rPr>
        <w:lastRenderedPageBreak/>
        <w:t>Que el artículo 8 de la Ley Orgánica del Centro Federal de Conciliación y Registro Laboral, establece que las relaciones de trabajo entre éste y su personal se regirán por la Ley Federal de los Trabajadores al Servicio</w:t>
      </w:r>
    </w:p>
    <w:p w:rsidR="005E7721" w:rsidRPr="005E7721" w:rsidRDefault="005E7721" w:rsidP="005E7721">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5E7721">
        <w:rPr>
          <w:rFonts w:ascii="Arial" w:eastAsia="Times New Roman" w:hAnsi="Arial" w:cs="Arial"/>
          <w:color w:val="2F2F2F"/>
          <w:sz w:val="18"/>
          <w:szCs w:val="18"/>
          <w:lang w:eastAsia="es-MX"/>
        </w:rPr>
        <w:t>del</w:t>
      </w:r>
      <w:proofErr w:type="gramEnd"/>
      <w:r w:rsidRPr="005E7721">
        <w:rPr>
          <w:rFonts w:ascii="Arial" w:eastAsia="Times New Roman" w:hAnsi="Arial" w:cs="Arial"/>
          <w:color w:val="2F2F2F"/>
          <w:sz w:val="18"/>
          <w:szCs w:val="18"/>
          <w:lang w:eastAsia="es-MX"/>
        </w:rPr>
        <w:t xml:space="preserve"> Estado, Reglamentaria del Apartado B) del Artículo 123 de la Constitución Política de los Estados Unidos Mexicanos;</w:t>
      </w:r>
    </w:p>
    <w:p w:rsidR="005E7721" w:rsidRPr="005E7721" w:rsidRDefault="005E7721" w:rsidP="005E7721">
      <w:pPr>
        <w:shd w:val="clear" w:color="auto" w:fill="FFFFFF"/>
        <w:spacing w:after="101" w:line="240" w:lineRule="auto"/>
        <w:ind w:firstLine="288"/>
        <w:jc w:val="both"/>
        <w:rPr>
          <w:rFonts w:ascii="Arial" w:eastAsia="Times New Roman" w:hAnsi="Arial" w:cs="Arial"/>
          <w:color w:val="2F2F2F"/>
          <w:sz w:val="18"/>
          <w:szCs w:val="18"/>
          <w:lang w:eastAsia="es-MX"/>
        </w:rPr>
      </w:pPr>
      <w:r w:rsidRPr="005E7721">
        <w:rPr>
          <w:rFonts w:ascii="Arial" w:eastAsia="Times New Roman" w:hAnsi="Arial" w:cs="Arial"/>
          <w:color w:val="2F2F2F"/>
          <w:sz w:val="18"/>
          <w:szCs w:val="18"/>
          <w:lang w:eastAsia="es-MX"/>
        </w:rPr>
        <w:t>Que el Decreto que reforma el Artículo Segundo del Decreto por el que se establece el Calendario Oficial, publicado en el DOF el 27 de enero de 2006, determinó modificaciones al Calendario Oficial;</w:t>
      </w:r>
    </w:p>
    <w:p w:rsidR="005E7721" w:rsidRPr="005E7721" w:rsidRDefault="005E7721" w:rsidP="005E7721">
      <w:pPr>
        <w:shd w:val="clear" w:color="auto" w:fill="FFFFFF"/>
        <w:spacing w:after="101" w:line="240" w:lineRule="auto"/>
        <w:ind w:firstLine="288"/>
        <w:jc w:val="both"/>
        <w:rPr>
          <w:rFonts w:ascii="Arial" w:eastAsia="Times New Roman" w:hAnsi="Arial" w:cs="Arial"/>
          <w:color w:val="2F2F2F"/>
          <w:sz w:val="18"/>
          <w:szCs w:val="18"/>
          <w:lang w:eastAsia="es-MX"/>
        </w:rPr>
      </w:pPr>
      <w:r w:rsidRPr="005E7721">
        <w:rPr>
          <w:rFonts w:ascii="Arial" w:eastAsia="Times New Roman" w:hAnsi="Arial" w:cs="Arial"/>
          <w:color w:val="2F2F2F"/>
          <w:sz w:val="18"/>
          <w:szCs w:val="18"/>
          <w:lang w:eastAsia="es-MX"/>
        </w:rPr>
        <w:t>Que para efectos de la recepción, procesamiento y trámite de las solicitudes de acceso a la información que formulen los particulares, así como de los recursos de revisión en esa materia, se consideran inhábiles los días que anualmente determine el Instituto Nacional de Transparencia, Acceso a la Información y Protección de Datos Personales, a través de la publicación correspondiente en el DOF;</w:t>
      </w:r>
    </w:p>
    <w:p w:rsidR="005E7721" w:rsidRPr="005E7721" w:rsidRDefault="005E7721" w:rsidP="005E7721">
      <w:pPr>
        <w:shd w:val="clear" w:color="auto" w:fill="FFFFFF"/>
        <w:spacing w:after="101" w:line="240" w:lineRule="auto"/>
        <w:ind w:firstLine="288"/>
        <w:jc w:val="both"/>
        <w:rPr>
          <w:rFonts w:ascii="Arial" w:eastAsia="Times New Roman" w:hAnsi="Arial" w:cs="Arial"/>
          <w:color w:val="2F2F2F"/>
          <w:sz w:val="18"/>
          <w:szCs w:val="18"/>
          <w:lang w:eastAsia="es-MX"/>
        </w:rPr>
      </w:pPr>
      <w:r w:rsidRPr="005E7721">
        <w:rPr>
          <w:rFonts w:ascii="Arial" w:eastAsia="Times New Roman" w:hAnsi="Arial" w:cs="Arial"/>
          <w:color w:val="2F2F2F"/>
          <w:sz w:val="18"/>
          <w:szCs w:val="18"/>
          <w:lang w:eastAsia="es-MX"/>
        </w:rPr>
        <w:t>Que de acuerdo con el artículo 714 y 715 de la Ley Federal del Trabajo, son días hábiles todos los del año con excepción de los sábados y domingos, los de descanso obligatorio, los festivos que señale el calendario oficial y aquéllos en que las autoridades laborales suspendan sus labores; asimismo, por lo que respecta a las horas hábiles, señala el artículo 716 de la Ley Federal del Trabajo, que serán las comprendidas entre las siete y las diecinueve horas, salvo el procedimiento de huelga, en el que todos los días y horas son hábiles;</w:t>
      </w:r>
    </w:p>
    <w:p w:rsidR="005E7721" w:rsidRPr="005E7721" w:rsidRDefault="005E7721" w:rsidP="005E7721">
      <w:pPr>
        <w:shd w:val="clear" w:color="auto" w:fill="FFFFFF"/>
        <w:spacing w:after="101" w:line="240" w:lineRule="auto"/>
        <w:ind w:firstLine="288"/>
        <w:jc w:val="both"/>
        <w:rPr>
          <w:rFonts w:ascii="Arial" w:eastAsia="Times New Roman" w:hAnsi="Arial" w:cs="Arial"/>
          <w:color w:val="2F2F2F"/>
          <w:sz w:val="18"/>
          <w:szCs w:val="18"/>
          <w:lang w:eastAsia="es-MX"/>
        </w:rPr>
      </w:pPr>
      <w:r w:rsidRPr="005E7721">
        <w:rPr>
          <w:rFonts w:ascii="Arial" w:eastAsia="Times New Roman" w:hAnsi="Arial" w:cs="Arial"/>
          <w:color w:val="2F2F2F"/>
          <w:sz w:val="18"/>
          <w:szCs w:val="18"/>
          <w:lang w:eastAsia="es-MX"/>
        </w:rPr>
        <w:t>Que de conformidad con el artículo 717 de la Ley Federal del Trabajo, el Centro Laboral y los Centros de Conciliación Locales pueden habilitar los días y horas inhábiles para que se practiquen diligencias, cuando haya causa justificada, expresando concreta y claramente cuál es ésta, así como las diligencias que hayan de practicarse, asimismo, y en relación con lo establecido por el 684-D de la misma Ley, se establece que el procedimiento de conciliación no deberá exceder de cuarenta y cinco días naturales, para lo cual, la Autoridad Conciliadora tomará las medidas conducentes para que sus actuaciones se ajusten a dicho plazo;</w:t>
      </w:r>
    </w:p>
    <w:p w:rsidR="005E7721" w:rsidRPr="005E7721" w:rsidRDefault="005E7721" w:rsidP="005E7721">
      <w:pPr>
        <w:shd w:val="clear" w:color="auto" w:fill="FFFFFF"/>
        <w:spacing w:after="101" w:line="240" w:lineRule="auto"/>
        <w:ind w:firstLine="288"/>
        <w:jc w:val="both"/>
        <w:rPr>
          <w:rFonts w:ascii="Arial" w:eastAsia="Times New Roman" w:hAnsi="Arial" w:cs="Arial"/>
          <w:color w:val="2F2F2F"/>
          <w:sz w:val="18"/>
          <w:szCs w:val="18"/>
          <w:lang w:eastAsia="es-MX"/>
        </w:rPr>
      </w:pPr>
      <w:r w:rsidRPr="005E7721">
        <w:rPr>
          <w:rFonts w:ascii="Arial" w:eastAsia="Times New Roman" w:hAnsi="Arial" w:cs="Arial"/>
          <w:color w:val="2F2F2F"/>
          <w:sz w:val="18"/>
          <w:szCs w:val="18"/>
          <w:lang w:eastAsia="es-MX"/>
        </w:rPr>
        <w:t>Que, en ejercicio de las funciones conferidas a este organismo descentralizado, deben contemplarse los plazos establecidos para los actos y procedimientos administrativos que realizan las distintas unidades administrativas del Centro Laboral, debiéndose dar a conocer al público en general;</w:t>
      </w:r>
    </w:p>
    <w:p w:rsidR="005E7721" w:rsidRPr="005E7721" w:rsidRDefault="005E7721" w:rsidP="005E7721">
      <w:pPr>
        <w:shd w:val="clear" w:color="auto" w:fill="FFFFFF"/>
        <w:spacing w:after="101" w:line="240" w:lineRule="auto"/>
        <w:ind w:firstLine="288"/>
        <w:jc w:val="both"/>
        <w:rPr>
          <w:rFonts w:ascii="Arial" w:eastAsia="Times New Roman" w:hAnsi="Arial" w:cs="Arial"/>
          <w:color w:val="2F2F2F"/>
          <w:sz w:val="18"/>
          <w:szCs w:val="18"/>
          <w:lang w:eastAsia="es-MX"/>
        </w:rPr>
      </w:pPr>
      <w:r w:rsidRPr="005E7721">
        <w:rPr>
          <w:rFonts w:ascii="Arial" w:eastAsia="Times New Roman" w:hAnsi="Arial" w:cs="Arial"/>
          <w:color w:val="2F2F2F"/>
          <w:sz w:val="18"/>
          <w:szCs w:val="18"/>
          <w:lang w:eastAsia="es-MX"/>
        </w:rPr>
        <w:t>Que, con el fin de salvaguardar el derecho de los particulares, en el ejercicio de los derechos sociales y laborales consagrados en la Constitución y en la Ley de la materia, se estima pertinente hacer del conocimiento público el calendario de días inhábiles, frente a las actuaciones de la autoridad, brindándoles certeza y seguridad jurídica a la ciudadanía en cuanto a los plazos, prórroga e inicio de los trámites seguidos ante las unidades administrativas del Centro Laboral, por lo que he tenido a bien expedir el siguiente:</w:t>
      </w:r>
    </w:p>
    <w:p w:rsidR="005E7721" w:rsidRPr="005E7721" w:rsidRDefault="005E7721" w:rsidP="005E772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bookmarkStart w:id="1" w:name="_Hlk90287286"/>
      <w:bookmarkEnd w:id="1"/>
      <w:r w:rsidRPr="005E7721">
        <w:rPr>
          <w:rFonts w:ascii="Times" w:eastAsia="Times New Roman" w:hAnsi="Times" w:cs="Times"/>
          <w:b/>
          <w:bCs/>
          <w:color w:val="2F2F2F"/>
          <w:sz w:val="18"/>
          <w:szCs w:val="18"/>
          <w:lang w:eastAsia="es-MX"/>
        </w:rPr>
        <w:t>ACUERDO POR EL QUE SE DA A CONOCER LOS DÍAS DEL AÑO DOS MIL VEINTIUNO (2021) EN QUE</w:t>
      </w:r>
      <w:r w:rsidRPr="005E7721">
        <w:rPr>
          <w:rFonts w:ascii="Times New Roman" w:eastAsia="Times New Roman" w:hAnsi="Times New Roman" w:cs="Times New Roman"/>
          <w:b/>
          <w:bCs/>
          <w:color w:val="2F2F2F"/>
          <w:sz w:val="18"/>
          <w:szCs w:val="18"/>
          <w:lang w:eastAsia="es-MX"/>
        </w:rPr>
        <w:br/>
      </w:r>
      <w:r w:rsidRPr="005E7721">
        <w:rPr>
          <w:rFonts w:ascii="Times" w:eastAsia="Times New Roman" w:hAnsi="Times" w:cs="Times"/>
          <w:b/>
          <w:bCs/>
          <w:color w:val="2F2F2F"/>
          <w:sz w:val="18"/>
          <w:szCs w:val="18"/>
          <w:lang w:eastAsia="es-MX"/>
        </w:rPr>
        <w:t>SE SUSPENDERÁN PLAZOS Y TÉRMINOS ANTE EL CENTRO FEDERAL DE CONCILIACIÓN Y</w:t>
      </w:r>
      <w:r w:rsidRPr="005E7721">
        <w:rPr>
          <w:rFonts w:ascii="Times New Roman" w:eastAsia="Times New Roman" w:hAnsi="Times New Roman" w:cs="Times New Roman"/>
          <w:b/>
          <w:bCs/>
          <w:color w:val="2F2F2F"/>
          <w:sz w:val="18"/>
          <w:szCs w:val="18"/>
          <w:lang w:eastAsia="es-MX"/>
        </w:rPr>
        <w:br/>
      </w:r>
      <w:r w:rsidRPr="005E7721">
        <w:rPr>
          <w:rFonts w:ascii="Times" w:eastAsia="Times New Roman" w:hAnsi="Times" w:cs="Times"/>
          <w:b/>
          <w:bCs/>
          <w:color w:val="2F2F2F"/>
          <w:sz w:val="18"/>
          <w:szCs w:val="18"/>
          <w:lang w:eastAsia="es-MX"/>
        </w:rPr>
        <w:t>REGISTRO LABORAL, CON MOTIVO DEL PERIODO VACACIONAL; ASÍ COMO EL CALENDARIO DE</w:t>
      </w:r>
      <w:r w:rsidRPr="005E7721">
        <w:rPr>
          <w:rFonts w:ascii="Times New Roman" w:eastAsia="Times New Roman" w:hAnsi="Times New Roman" w:cs="Times New Roman"/>
          <w:b/>
          <w:bCs/>
          <w:color w:val="2F2F2F"/>
          <w:sz w:val="18"/>
          <w:szCs w:val="18"/>
          <w:lang w:eastAsia="es-MX"/>
        </w:rPr>
        <w:br/>
      </w:r>
      <w:r w:rsidRPr="005E7721">
        <w:rPr>
          <w:rFonts w:ascii="Times" w:eastAsia="Times New Roman" w:hAnsi="Times" w:cs="Times"/>
          <w:b/>
          <w:bCs/>
          <w:color w:val="2F2F2F"/>
          <w:sz w:val="18"/>
          <w:szCs w:val="18"/>
          <w:lang w:eastAsia="es-MX"/>
        </w:rPr>
        <w:t>DÍAS INHÁBILES PARA EL AÑO DOS MIL VEINTIDÓS (2022)</w:t>
      </w:r>
    </w:p>
    <w:p w:rsidR="005E7721" w:rsidRPr="005E7721" w:rsidRDefault="005E7721" w:rsidP="005E7721">
      <w:pPr>
        <w:shd w:val="clear" w:color="auto" w:fill="FFFFFF"/>
        <w:spacing w:after="101" w:line="240" w:lineRule="auto"/>
        <w:ind w:firstLine="288"/>
        <w:jc w:val="both"/>
        <w:rPr>
          <w:rFonts w:ascii="Arial" w:eastAsia="Times New Roman" w:hAnsi="Arial" w:cs="Arial"/>
          <w:color w:val="2F2F2F"/>
          <w:sz w:val="18"/>
          <w:szCs w:val="18"/>
          <w:lang w:eastAsia="es-MX"/>
        </w:rPr>
      </w:pPr>
      <w:r w:rsidRPr="005E7721">
        <w:rPr>
          <w:rFonts w:ascii="Arial" w:eastAsia="Times New Roman" w:hAnsi="Arial" w:cs="Arial"/>
          <w:b/>
          <w:bCs/>
          <w:color w:val="2F2F2F"/>
          <w:sz w:val="18"/>
          <w:szCs w:val="18"/>
          <w:lang w:eastAsia="es-MX"/>
        </w:rPr>
        <w:t>PRIMERO. </w:t>
      </w:r>
      <w:r w:rsidRPr="005E7721">
        <w:rPr>
          <w:rFonts w:ascii="Arial" w:eastAsia="Times New Roman" w:hAnsi="Arial" w:cs="Arial"/>
          <w:color w:val="2F2F2F"/>
          <w:sz w:val="18"/>
          <w:szCs w:val="18"/>
          <w:lang w:eastAsia="es-MX"/>
        </w:rPr>
        <w:t>Se informa a las autoridades de los tres órdenes de gobierno, así como al público en general, que se suspenden los plazos y términos legales de los actos y procedimientos administrativos seguidos ante el Centro Laboral del veintisiete de diciembre de dos mil veintiuno al tres de enero de dos mil veintidós, con motivo del periodo vacacional dos mil veintiuno (2021).</w:t>
      </w:r>
    </w:p>
    <w:p w:rsidR="005E7721" w:rsidRPr="005E7721" w:rsidRDefault="005E7721" w:rsidP="005E7721">
      <w:pPr>
        <w:shd w:val="clear" w:color="auto" w:fill="FFFFFF"/>
        <w:spacing w:after="101" w:line="240" w:lineRule="auto"/>
        <w:ind w:firstLine="288"/>
        <w:jc w:val="both"/>
        <w:rPr>
          <w:rFonts w:ascii="Arial" w:eastAsia="Times New Roman" w:hAnsi="Arial" w:cs="Arial"/>
          <w:color w:val="2F2F2F"/>
          <w:sz w:val="18"/>
          <w:szCs w:val="18"/>
          <w:lang w:eastAsia="es-MX"/>
        </w:rPr>
      </w:pPr>
      <w:r w:rsidRPr="005E7721">
        <w:rPr>
          <w:rFonts w:ascii="Arial" w:eastAsia="Times New Roman" w:hAnsi="Arial" w:cs="Arial"/>
          <w:color w:val="2F2F2F"/>
          <w:sz w:val="18"/>
          <w:szCs w:val="18"/>
          <w:lang w:eastAsia="es-MX"/>
        </w:rPr>
        <w:t>Durante dicho período, las actuaciones, notificaciones, requerimientos, solicitudes o promociones presentadas ante las unidades administrativas del Centro Laboral se entenderán realizadas hasta el día hábil siguiente.</w:t>
      </w:r>
    </w:p>
    <w:p w:rsidR="005E7721" w:rsidRPr="005E7721" w:rsidRDefault="005E7721" w:rsidP="005E7721">
      <w:pPr>
        <w:shd w:val="clear" w:color="auto" w:fill="FFFFFF"/>
        <w:spacing w:after="101" w:line="240" w:lineRule="auto"/>
        <w:ind w:firstLine="288"/>
        <w:jc w:val="both"/>
        <w:rPr>
          <w:rFonts w:ascii="Arial" w:eastAsia="Times New Roman" w:hAnsi="Arial" w:cs="Arial"/>
          <w:color w:val="2F2F2F"/>
          <w:sz w:val="18"/>
          <w:szCs w:val="18"/>
          <w:lang w:eastAsia="es-MX"/>
        </w:rPr>
      </w:pPr>
      <w:r w:rsidRPr="005E7721">
        <w:rPr>
          <w:rFonts w:ascii="Arial" w:eastAsia="Times New Roman" w:hAnsi="Arial" w:cs="Arial"/>
          <w:b/>
          <w:bCs/>
          <w:color w:val="2F2F2F"/>
          <w:sz w:val="18"/>
          <w:szCs w:val="18"/>
          <w:lang w:eastAsia="es-MX"/>
        </w:rPr>
        <w:t>SEGUNDO.</w:t>
      </w:r>
      <w:r w:rsidRPr="005E7721">
        <w:rPr>
          <w:rFonts w:ascii="Arial" w:eastAsia="Times New Roman" w:hAnsi="Arial" w:cs="Arial"/>
          <w:color w:val="2F2F2F"/>
          <w:sz w:val="18"/>
          <w:szCs w:val="18"/>
          <w:lang w:eastAsia="es-MX"/>
        </w:rPr>
        <w:t> Las Coordinaciones Generales, Oficinas Estatales y Oficinas de Apoyo del Centro Laboral, suspenderán labores los días de dos mil veintidós (2022) que a continuación se indican, considerándose como inhábiles para efectos de las diligencias o actuaciones de los procedimientos administrativos que se tramitan o deban tramitarse en esta Entidad, por lo que en esos días no correrán plazos ni vencerán términos legales, además de los sábados y domingos, los siguientes:</w:t>
      </w:r>
    </w:p>
    <w:p w:rsidR="005E7721" w:rsidRPr="005E7721" w:rsidRDefault="005E7721" w:rsidP="005E7721">
      <w:pPr>
        <w:shd w:val="clear" w:color="auto" w:fill="FFFFFF"/>
        <w:spacing w:after="101" w:line="240" w:lineRule="auto"/>
        <w:jc w:val="both"/>
        <w:rPr>
          <w:rFonts w:ascii="Arial" w:eastAsia="Times New Roman" w:hAnsi="Arial" w:cs="Arial"/>
          <w:color w:val="2F2F2F"/>
          <w:sz w:val="18"/>
          <w:szCs w:val="18"/>
          <w:lang w:eastAsia="es-MX"/>
        </w:rPr>
      </w:pPr>
      <w:r w:rsidRPr="005E7721">
        <w:rPr>
          <w:rFonts w:ascii="Arial" w:eastAsia="Times New Roman" w:hAnsi="Arial" w:cs="Arial"/>
          <w:color w:val="2F2F2F"/>
          <w:sz w:val="18"/>
          <w:szCs w:val="18"/>
          <w:lang w:eastAsia="es-MX"/>
        </w:rPr>
        <w:t>7 de febrero (en conmemoración del 5 de febrero, Día de la Constitución).</w:t>
      </w:r>
    </w:p>
    <w:p w:rsidR="005E7721" w:rsidRPr="005E7721" w:rsidRDefault="005E7721" w:rsidP="005E7721">
      <w:pPr>
        <w:shd w:val="clear" w:color="auto" w:fill="FFFFFF"/>
        <w:spacing w:after="101" w:line="240" w:lineRule="auto"/>
        <w:jc w:val="both"/>
        <w:rPr>
          <w:rFonts w:ascii="Arial" w:eastAsia="Times New Roman" w:hAnsi="Arial" w:cs="Arial"/>
          <w:color w:val="2F2F2F"/>
          <w:sz w:val="18"/>
          <w:szCs w:val="18"/>
          <w:lang w:eastAsia="es-MX"/>
        </w:rPr>
      </w:pPr>
      <w:r w:rsidRPr="005E7721">
        <w:rPr>
          <w:rFonts w:ascii="Arial" w:eastAsia="Times New Roman" w:hAnsi="Arial" w:cs="Arial"/>
          <w:color w:val="2F2F2F"/>
          <w:sz w:val="18"/>
          <w:szCs w:val="18"/>
          <w:lang w:eastAsia="es-MX"/>
        </w:rPr>
        <w:t>8 de marzo (Día Internacional de la Mujer).</w:t>
      </w:r>
    </w:p>
    <w:p w:rsidR="005E7721" w:rsidRPr="005E7721" w:rsidRDefault="005E7721" w:rsidP="005E7721">
      <w:pPr>
        <w:shd w:val="clear" w:color="auto" w:fill="FFFFFF"/>
        <w:spacing w:after="101" w:line="240" w:lineRule="auto"/>
        <w:jc w:val="both"/>
        <w:rPr>
          <w:rFonts w:ascii="Arial" w:eastAsia="Times New Roman" w:hAnsi="Arial" w:cs="Arial"/>
          <w:color w:val="2F2F2F"/>
          <w:sz w:val="18"/>
          <w:szCs w:val="18"/>
          <w:lang w:eastAsia="es-MX"/>
        </w:rPr>
      </w:pPr>
      <w:r w:rsidRPr="005E7721">
        <w:rPr>
          <w:rFonts w:ascii="Arial" w:eastAsia="Times New Roman" w:hAnsi="Arial" w:cs="Arial"/>
          <w:color w:val="2F2F2F"/>
          <w:sz w:val="18"/>
          <w:szCs w:val="18"/>
          <w:lang w:eastAsia="es-MX"/>
        </w:rPr>
        <w:t>21 de marzo (en conmemoración del natalicio de Benito Juárez).</w:t>
      </w:r>
    </w:p>
    <w:p w:rsidR="005E7721" w:rsidRPr="005E7721" w:rsidRDefault="005E7721" w:rsidP="005E7721">
      <w:pPr>
        <w:shd w:val="clear" w:color="auto" w:fill="FFFFFF"/>
        <w:spacing w:after="101" w:line="240" w:lineRule="auto"/>
        <w:jc w:val="both"/>
        <w:rPr>
          <w:rFonts w:ascii="Arial" w:eastAsia="Times New Roman" w:hAnsi="Arial" w:cs="Arial"/>
          <w:color w:val="2F2F2F"/>
          <w:sz w:val="18"/>
          <w:szCs w:val="18"/>
          <w:lang w:eastAsia="es-MX"/>
        </w:rPr>
      </w:pPr>
      <w:r w:rsidRPr="005E7721">
        <w:rPr>
          <w:rFonts w:ascii="Arial" w:eastAsia="Times New Roman" w:hAnsi="Arial" w:cs="Arial"/>
          <w:color w:val="2F2F2F"/>
          <w:sz w:val="18"/>
          <w:szCs w:val="18"/>
          <w:lang w:eastAsia="es-MX"/>
        </w:rPr>
        <w:t>14 y 15 de abril (jueves y viernes santo).</w:t>
      </w:r>
    </w:p>
    <w:p w:rsidR="005E7721" w:rsidRPr="005E7721" w:rsidRDefault="005E7721" w:rsidP="005E7721">
      <w:pPr>
        <w:shd w:val="clear" w:color="auto" w:fill="FFFFFF"/>
        <w:spacing w:after="101" w:line="240" w:lineRule="auto"/>
        <w:jc w:val="both"/>
        <w:rPr>
          <w:rFonts w:ascii="Arial" w:eastAsia="Times New Roman" w:hAnsi="Arial" w:cs="Arial"/>
          <w:color w:val="2F2F2F"/>
          <w:sz w:val="18"/>
          <w:szCs w:val="18"/>
          <w:lang w:eastAsia="es-MX"/>
        </w:rPr>
      </w:pPr>
      <w:r w:rsidRPr="005E7721">
        <w:rPr>
          <w:rFonts w:ascii="Arial" w:eastAsia="Times New Roman" w:hAnsi="Arial" w:cs="Arial"/>
          <w:color w:val="2F2F2F"/>
          <w:sz w:val="18"/>
          <w:szCs w:val="18"/>
          <w:lang w:eastAsia="es-MX"/>
        </w:rPr>
        <w:t>1° de mayo (Día del trabajo).</w:t>
      </w:r>
    </w:p>
    <w:p w:rsidR="005E7721" w:rsidRPr="005E7721" w:rsidRDefault="005E7721" w:rsidP="005E7721">
      <w:pPr>
        <w:shd w:val="clear" w:color="auto" w:fill="FFFFFF"/>
        <w:spacing w:after="101" w:line="240" w:lineRule="auto"/>
        <w:jc w:val="both"/>
        <w:rPr>
          <w:rFonts w:ascii="Arial" w:eastAsia="Times New Roman" w:hAnsi="Arial" w:cs="Arial"/>
          <w:color w:val="2F2F2F"/>
          <w:sz w:val="18"/>
          <w:szCs w:val="18"/>
          <w:lang w:eastAsia="es-MX"/>
        </w:rPr>
      </w:pPr>
      <w:r w:rsidRPr="005E7721">
        <w:rPr>
          <w:rFonts w:ascii="Arial" w:eastAsia="Times New Roman" w:hAnsi="Arial" w:cs="Arial"/>
          <w:color w:val="2F2F2F"/>
          <w:sz w:val="18"/>
          <w:szCs w:val="18"/>
          <w:lang w:eastAsia="es-MX"/>
        </w:rPr>
        <w:t>10 de mayo (Día de las madres).</w:t>
      </w:r>
    </w:p>
    <w:p w:rsidR="005E7721" w:rsidRPr="005E7721" w:rsidRDefault="005E7721" w:rsidP="005E7721">
      <w:pPr>
        <w:shd w:val="clear" w:color="auto" w:fill="FFFFFF"/>
        <w:spacing w:after="101" w:line="240" w:lineRule="auto"/>
        <w:jc w:val="both"/>
        <w:rPr>
          <w:rFonts w:ascii="Arial" w:eastAsia="Times New Roman" w:hAnsi="Arial" w:cs="Arial"/>
          <w:color w:val="2F2F2F"/>
          <w:sz w:val="18"/>
          <w:szCs w:val="18"/>
          <w:lang w:eastAsia="es-MX"/>
        </w:rPr>
      </w:pPr>
      <w:r w:rsidRPr="005E7721">
        <w:rPr>
          <w:rFonts w:ascii="Arial" w:eastAsia="Times New Roman" w:hAnsi="Arial" w:cs="Arial"/>
          <w:color w:val="2F2F2F"/>
          <w:sz w:val="18"/>
          <w:szCs w:val="18"/>
          <w:lang w:eastAsia="es-MX"/>
        </w:rPr>
        <w:lastRenderedPageBreak/>
        <w:t> </w:t>
      </w:r>
    </w:p>
    <w:p w:rsidR="005E7721" w:rsidRPr="005E7721" w:rsidRDefault="005E7721" w:rsidP="005E7721">
      <w:pPr>
        <w:shd w:val="clear" w:color="auto" w:fill="FFFFFF"/>
        <w:spacing w:after="101" w:line="240" w:lineRule="auto"/>
        <w:jc w:val="both"/>
        <w:rPr>
          <w:rFonts w:ascii="Arial" w:eastAsia="Times New Roman" w:hAnsi="Arial" w:cs="Arial"/>
          <w:color w:val="2F2F2F"/>
          <w:sz w:val="18"/>
          <w:szCs w:val="18"/>
          <w:lang w:eastAsia="es-MX"/>
        </w:rPr>
      </w:pPr>
      <w:r w:rsidRPr="005E7721">
        <w:rPr>
          <w:rFonts w:ascii="Arial" w:eastAsia="Times New Roman" w:hAnsi="Arial" w:cs="Arial"/>
          <w:color w:val="2F2F2F"/>
          <w:sz w:val="18"/>
          <w:szCs w:val="18"/>
          <w:lang w:eastAsia="es-MX"/>
        </w:rPr>
        <w:t>16 de septiembre (en conmemoración del Día de la Independencia).</w:t>
      </w:r>
    </w:p>
    <w:p w:rsidR="005E7721" w:rsidRPr="005E7721" w:rsidRDefault="005E7721" w:rsidP="005E7721">
      <w:pPr>
        <w:shd w:val="clear" w:color="auto" w:fill="FFFFFF"/>
        <w:spacing w:after="101" w:line="240" w:lineRule="auto"/>
        <w:jc w:val="both"/>
        <w:rPr>
          <w:rFonts w:ascii="Arial" w:eastAsia="Times New Roman" w:hAnsi="Arial" w:cs="Arial"/>
          <w:color w:val="2F2F2F"/>
          <w:sz w:val="18"/>
          <w:szCs w:val="18"/>
          <w:lang w:eastAsia="es-MX"/>
        </w:rPr>
      </w:pPr>
      <w:r w:rsidRPr="005E7721">
        <w:rPr>
          <w:rFonts w:ascii="Arial" w:eastAsia="Times New Roman" w:hAnsi="Arial" w:cs="Arial"/>
          <w:color w:val="2F2F2F"/>
          <w:sz w:val="18"/>
          <w:szCs w:val="18"/>
          <w:lang w:eastAsia="es-MX"/>
        </w:rPr>
        <w:t>2 de noviembre (en conmemoración del Día de muertos).</w:t>
      </w:r>
    </w:p>
    <w:p w:rsidR="005E7721" w:rsidRPr="005E7721" w:rsidRDefault="005E7721" w:rsidP="005E7721">
      <w:pPr>
        <w:shd w:val="clear" w:color="auto" w:fill="FFFFFF"/>
        <w:spacing w:after="101" w:line="240" w:lineRule="auto"/>
        <w:jc w:val="both"/>
        <w:rPr>
          <w:rFonts w:ascii="Arial" w:eastAsia="Times New Roman" w:hAnsi="Arial" w:cs="Arial"/>
          <w:color w:val="2F2F2F"/>
          <w:sz w:val="18"/>
          <w:szCs w:val="18"/>
          <w:lang w:eastAsia="es-MX"/>
        </w:rPr>
      </w:pPr>
      <w:r w:rsidRPr="005E7721">
        <w:rPr>
          <w:rFonts w:ascii="Arial" w:eastAsia="Times New Roman" w:hAnsi="Arial" w:cs="Arial"/>
          <w:color w:val="2F2F2F"/>
          <w:sz w:val="18"/>
          <w:szCs w:val="18"/>
          <w:lang w:eastAsia="es-MX"/>
        </w:rPr>
        <w:t>21 de noviembre (en conmemoración del 20 de noviembre, Día de la Revolución Mexicana).</w:t>
      </w:r>
    </w:p>
    <w:p w:rsidR="005E7721" w:rsidRPr="005E7721" w:rsidRDefault="005E7721" w:rsidP="005E7721">
      <w:pPr>
        <w:shd w:val="clear" w:color="auto" w:fill="FFFFFF"/>
        <w:spacing w:after="101" w:line="240" w:lineRule="auto"/>
        <w:jc w:val="both"/>
        <w:rPr>
          <w:rFonts w:ascii="Arial" w:eastAsia="Times New Roman" w:hAnsi="Arial" w:cs="Arial"/>
          <w:color w:val="2F2F2F"/>
          <w:sz w:val="18"/>
          <w:szCs w:val="18"/>
          <w:lang w:eastAsia="es-MX"/>
        </w:rPr>
      </w:pPr>
      <w:r w:rsidRPr="005E7721">
        <w:rPr>
          <w:rFonts w:ascii="Arial" w:eastAsia="Times New Roman" w:hAnsi="Arial" w:cs="Arial"/>
          <w:color w:val="2F2F2F"/>
          <w:sz w:val="18"/>
          <w:szCs w:val="18"/>
          <w:lang w:eastAsia="es-MX"/>
        </w:rPr>
        <w:t>25 de diciembre (Navidad).</w:t>
      </w:r>
    </w:p>
    <w:p w:rsidR="005E7721" w:rsidRPr="005E7721" w:rsidRDefault="005E7721" w:rsidP="005E7721">
      <w:pPr>
        <w:shd w:val="clear" w:color="auto" w:fill="FFFFFF"/>
        <w:spacing w:after="101" w:line="240" w:lineRule="auto"/>
        <w:ind w:firstLine="288"/>
        <w:jc w:val="both"/>
        <w:rPr>
          <w:rFonts w:ascii="Arial" w:eastAsia="Times New Roman" w:hAnsi="Arial" w:cs="Arial"/>
          <w:color w:val="2F2F2F"/>
          <w:sz w:val="18"/>
          <w:szCs w:val="18"/>
          <w:lang w:eastAsia="es-MX"/>
        </w:rPr>
      </w:pPr>
      <w:r w:rsidRPr="005E7721">
        <w:rPr>
          <w:rFonts w:ascii="Arial" w:eastAsia="Times New Roman" w:hAnsi="Arial" w:cs="Arial"/>
          <w:b/>
          <w:bCs/>
          <w:color w:val="2F2F2F"/>
          <w:sz w:val="18"/>
          <w:szCs w:val="18"/>
          <w:lang w:eastAsia="es-MX"/>
        </w:rPr>
        <w:t>TERCERO. </w:t>
      </w:r>
      <w:r w:rsidRPr="005E7721">
        <w:rPr>
          <w:rFonts w:ascii="Arial" w:eastAsia="Times New Roman" w:hAnsi="Arial" w:cs="Arial"/>
          <w:color w:val="2F2F2F"/>
          <w:sz w:val="18"/>
          <w:szCs w:val="18"/>
          <w:lang w:eastAsia="es-MX"/>
        </w:rPr>
        <w:t>En términos de lo establecido en el artículo 717 de la Ley Federal del Trabajo, así como el 28 último párrafo de la Ley Federal del Procedimiento Administrativo, se habilitan los días y horas inhábiles, incluso sábados y domingos, así como los días señalados en los artículos PRIMERO y SEGUNDO de este Acuerdo, para que se practiquen diligencias cuando haya causa justificada a consideración del Titular de la Coordinación General competente del Centro Laboral, a fin de proveer los asuntos cuya urgencia y relevancia lo ameriten; así como en las funciones y actividades competencia del Centro Laboral en las materias de verificación y conciliación colectiva, incluidas las diligencias de notificación, requerimiento de informes y todas aquéllas que sean necesarias para su cumplimiento.</w:t>
      </w:r>
    </w:p>
    <w:p w:rsidR="005E7721" w:rsidRPr="005E7721" w:rsidRDefault="005E7721" w:rsidP="005E7721">
      <w:pPr>
        <w:shd w:val="clear" w:color="auto" w:fill="FFFFFF"/>
        <w:spacing w:after="101" w:line="240" w:lineRule="auto"/>
        <w:ind w:firstLine="288"/>
        <w:jc w:val="both"/>
        <w:rPr>
          <w:rFonts w:ascii="Arial" w:eastAsia="Times New Roman" w:hAnsi="Arial" w:cs="Arial"/>
          <w:color w:val="2F2F2F"/>
          <w:sz w:val="18"/>
          <w:szCs w:val="18"/>
          <w:lang w:eastAsia="es-MX"/>
        </w:rPr>
      </w:pPr>
      <w:r w:rsidRPr="005E7721">
        <w:rPr>
          <w:rFonts w:ascii="Arial" w:eastAsia="Times New Roman" w:hAnsi="Arial" w:cs="Arial"/>
          <w:b/>
          <w:bCs/>
          <w:color w:val="2F2F2F"/>
          <w:sz w:val="18"/>
          <w:szCs w:val="18"/>
          <w:lang w:eastAsia="es-MX"/>
        </w:rPr>
        <w:t>CUARTO. </w:t>
      </w:r>
      <w:r w:rsidRPr="005E7721">
        <w:rPr>
          <w:rFonts w:ascii="Arial" w:eastAsia="Times New Roman" w:hAnsi="Arial" w:cs="Arial"/>
          <w:color w:val="2F2F2F"/>
          <w:sz w:val="18"/>
          <w:szCs w:val="18"/>
          <w:lang w:eastAsia="es-MX"/>
        </w:rPr>
        <w:t>A efecto de no dejar en estado de indefensión a los particulares, prevaleciendo el respeto irrestricto a los derechos laborales, tales como la representación colectiva de las personas trabajadoras, negociación colectiva y derecho de huelga; con base en el artículo 716 de la Ley Federal del Trabajo, se habilitan todos los días y horas inhábiles, entre ellos sábados y domingos, así como los días señalados en los artículos PRIMERO y SEGUNDO de este Acuerdo, para que se practiquen diligencias o actuaciones y se sustancien los procesos administrativos relacionados al procedimiento de huelga en que intervenga el Centro Laboral.</w:t>
      </w:r>
    </w:p>
    <w:p w:rsidR="005E7721" w:rsidRPr="005E7721" w:rsidRDefault="005E7721" w:rsidP="005E7721">
      <w:pPr>
        <w:shd w:val="clear" w:color="auto" w:fill="FFFFFF"/>
        <w:spacing w:after="101" w:line="240" w:lineRule="auto"/>
        <w:ind w:firstLine="288"/>
        <w:jc w:val="both"/>
        <w:rPr>
          <w:rFonts w:ascii="Arial" w:eastAsia="Times New Roman" w:hAnsi="Arial" w:cs="Arial"/>
          <w:color w:val="2F2F2F"/>
          <w:sz w:val="18"/>
          <w:szCs w:val="18"/>
          <w:lang w:eastAsia="es-MX"/>
        </w:rPr>
      </w:pPr>
      <w:r w:rsidRPr="005E7721">
        <w:rPr>
          <w:rFonts w:ascii="Arial" w:eastAsia="Times New Roman" w:hAnsi="Arial" w:cs="Arial"/>
          <w:b/>
          <w:bCs/>
          <w:color w:val="2F2F2F"/>
          <w:sz w:val="18"/>
          <w:szCs w:val="18"/>
          <w:lang w:eastAsia="es-MX"/>
        </w:rPr>
        <w:t>QUINTO.</w:t>
      </w:r>
      <w:r w:rsidRPr="005E7721">
        <w:rPr>
          <w:rFonts w:ascii="Arial" w:eastAsia="Times New Roman" w:hAnsi="Arial" w:cs="Arial"/>
          <w:color w:val="2F2F2F"/>
          <w:sz w:val="18"/>
          <w:szCs w:val="18"/>
          <w:lang w:eastAsia="es-MX"/>
        </w:rPr>
        <w:t> Quedan exceptuadas de la suspensión de plazos y términos señalada en el artículo PRIMERO del presente Acuerdo, todas las actuaciones relativas a las audiencias de conciliación programadas con anterioridad a la emisión del presente, por lo que su celebración no se suspenderá, declarándose días hábiles los que en su caso se hayan programado para llevar a cabo dichas audiencias conciliatorias, y únicamente para tales efectos jurídicos.</w:t>
      </w:r>
    </w:p>
    <w:p w:rsidR="005E7721" w:rsidRPr="005E7721" w:rsidRDefault="005E7721" w:rsidP="005E7721">
      <w:pPr>
        <w:shd w:val="clear" w:color="auto" w:fill="FFFFFF"/>
        <w:spacing w:after="101" w:line="240" w:lineRule="auto"/>
        <w:ind w:firstLine="288"/>
        <w:jc w:val="both"/>
        <w:rPr>
          <w:rFonts w:ascii="Arial" w:eastAsia="Times New Roman" w:hAnsi="Arial" w:cs="Arial"/>
          <w:color w:val="2F2F2F"/>
          <w:sz w:val="18"/>
          <w:szCs w:val="18"/>
          <w:lang w:eastAsia="es-MX"/>
        </w:rPr>
      </w:pPr>
      <w:r w:rsidRPr="005E7721">
        <w:rPr>
          <w:rFonts w:ascii="Arial" w:eastAsia="Times New Roman" w:hAnsi="Arial" w:cs="Arial"/>
          <w:color w:val="2F2F2F"/>
          <w:sz w:val="18"/>
          <w:szCs w:val="18"/>
          <w:lang w:eastAsia="es-MX"/>
        </w:rPr>
        <w:t>Con el propósito de fomentar el acuerdo entre las partes, garantizando los derechos laborales, la seguridad y la certeza jurídica, el Centro Laboral a través de las Coordinaciones Generales de Conciliación Individual y Conciliación Colectiva, Oficinas Estatales y de Apoyo proveerán lo necesario para la atención y desahogo de los procedimientos de conciliación que se encuentren en sustanciación a la emisión del presente Acuerdo, para lo cual tomarán las medidas conducentes para que sus actuaciones se ajusten al plazo establecido en el artículo 684-D de la Ley Federal del Trabajo.</w:t>
      </w:r>
    </w:p>
    <w:p w:rsidR="005E7721" w:rsidRPr="005E7721" w:rsidRDefault="005E7721" w:rsidP="005E7721">
      <w:pPr>
        <w:shd w:val="clear" w:color="auto" w:fill="FFFFFF"/>
        <w:spacing w:after="101" w:line="240" w:lineRule="auto"/>
        <w:ind w:firstLine="288"/>
        <w:jc w:val="both"/>
        <w:rPr>
          <w:rFonts w:ascii="Arial" w:eastAsia="Times New Roman" w:hAnsi="Arial" w:cs="Arial"/>
          <w:color w:val="2F2F2F"/>
          <w:sz w:val="18"/>
          <w:szCs w:val="18"/>
          <w:lang w:eastAsia="es-MX"/>
        </w:rPr>
      </w:pPr>
      <w:r w:rsidRPr="005E7721">
        <w:rPr>
          <w:rFonts w:ascii="Arial" w:eastAsia="Times New Roman" w:hAnsi="Arial" w:cs="Arial"/>
          <w:b/>
          <w:bCs/>
          <w:color w:val="2F2F2F"/>
          <w:sz w:val="18"/>
          <w:szCs w:val="18"/>
          <w:lang w:eastAsia="es-MX"/>
        </w:rPr>
        <w:t>SEXTO. </w:t>
      </w:r>
      <w:r w:rsidRPr="005E7721">
        <w:rPr>
          <w:rFonts w:ascii="Arial" w:eastAsia="Times New Roman" w:hAnsi="Arial" w:cs="Arial"/>
          <w:color w:val="2F2F2F"/>
          <w:sz w:val="18"/>
          <w:szCs w:val="18"/>
          <w:lang w:eastAsia="es-MX"/>
        </w:rPr>
        <w:t>En lo que se refiere al ejercicio de derechos trámites en materia de Transparencia, Acceso a la Información, Datos Personales, y en general, actividades y trámites realizados por la Unidad de Transparencia del Centro Laboral; se considerarán días inhábiles todos los señalados anteriormente, incluyendo aquéllos que determine y dé a conocer el Instituto Nacional de Transparencia, Acceso a la Información y Protección de Datos Personales.</w:t>
      </w:r>
    </w:p>
    <w:p w:rsidR="005E7721" w:rsidRPr="005E7721" w:rsidRDefault="005E7721" w:rsidP="005E772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E7721">
        <w:rPr>
          <w:rFonts w:ascii="Times" w:eastAsia="Times New Roman" w:hAnsi="Times" w:cs="Times"/>
          <w:b/>
          <w:bCs/>
          <w:color w:val="2F2F2F"/>
          <w:sz w:val="18"/>
          <w:szCs w:val="18"/>
          <w:lang w:eastAsia="es-MX"/>
        </w:rPr>
        <w:t>TRANSITORIO</w:t>
      </w:r>
    </w:p>
    <w:p w:rsidR="005E7721" w:rsidRPr="005E7721" w:rsidRDefault="005E7721" w:rsidP="005E7721">
      <w:pPr>
        <w:shd w:val="clear" w:color="auto" w:fill="FFFFFF"/>
        <w:spacing w:after="101" w:line="240" w:lineRule="auto"/>
        <w:ind w:firstLine="288"/>
        <w:jc w:val="both"/>
        <w:rPr>
          <w:rFonts w:ascii="Arial" w:eastAsia="Times New Roman" w:hAnsi="Arial" w:cs="Arial"/>
          <w:color w:val="2F2F2F"/>
          <w:sz w:val="18"/>
          <w:szCs w:val="18"/>
          <w:lang w:eastAsia="es-MX"/>
        </w:rPr>
      </w:pPr>
      <w:r w:rsidRPr="005E7721">
        <w:rPr>
          <w:rFonts w:ascii="Arial" w:eastAsia="Times New Roman" w:hAnsi="Arial" w:cs="Arial"/>
          <w:b/>
          <w:bCs/>
          <w:color w:val="2F2F2F"/>
          <w:sz w:val="18"/>
          <w:szCs w:val="18"/>
          <w:lang w:eastAsia="es-MX"/>
        </w:rPr>
        <w:t>PRIMERO. </w:t>
      </w:r>
      <w:r w:rsidRPr="005E7721">
        <w:rPr>
          <w:rFonts w:ascii="Arial" w:eastAsia="Times New Roman" w:hAnsi="Arial" w:cs="Arial"/>
          <w:color w:val="2F2F2F"/>
          <w:sz w:val="18"/>
          <w:szCs w:val="18"/>
          <w:lang w:eastAsia="es-MX"/>
        </w:rPr>
        <w:t>El presente Acuerdo entrará en vigor al día siguiente de su publicación en el Diario Oficial de la Federación.</w:t>
      </w:r>
    </w:p>
    <w:p w:rsidR="005E7721" w:rsidRPr="005E7721" w:rsidRDefault="005E7721" w:rsidP="005E7721">
      <w:pPr>
        <w:shd w:val="clear" w:color="auto" w:fill="FFFFFF"/>
        <w:spacing w:after="101" w:line="240" w:lineRule="auto"/>
        <w:ind w:firstLine="288"/>
        <w:jc w:val="both"/>
        <w:rPr>
          <w:rFonts w:ascii="Arial" w:eastAsia="Times New Roman" w:hAnsi="Arial" w:cs="Arial"/>
          <w:color w:val="2F2F2F"/>
          <w:sz w:val="18"/>
          <w:szCs w:val="18"/>
          <w:lang w:eastAsia="es-MX"/>
        </w:rPr>
      </w:pPr>
      <w:r w:rsidRPr="005E7721">
        <w:rPr>
          <w:rFonts w:ascii="Arial" w:eastAsia="Times New Roman" w:hAnsi="Arial" w:cs="Arial"/>
          <w:b/>
          <w:bCs/>
          <w:color w:val="2F2F2F"/>
          <w:sz w:val="18"/>
          <w:szCs w:val="18"/>
          <w:lang w:eastAsia="es-MX"/>
        </w:rPr>
        <w:t>SEGUNDO</w:t>
      </w:r>
      <w:r w:rsidRPr="005E7721">
        <w:rPr>
          <w:rFonts w:ascii="Arial" w:eastAsia="Times New Roman" w:hAnsi="Arial" w:cs="Arial"/>
          <w:color w:val="2F2F2F"/>
          <w:sz w:val="18"/>
          <w:szCs w:val="18"/>
          <w:lang w:eastAsia="es-MX"/>
        </w:rPr>
        <w:t>. Las Coordinaciones Generales del Centro Laboral, podrán designar al personal necesario que realizará sus respectivas guardias durante el periodo vacacional señalado en el artículo PRIMERO de este Acuerdo, quedando habilitado para atender los asuntos urgentes relacionados con la competencia y atribuciones de cada Coordinación General.</w:t>
      </w:r>
    </w:p>
    <w:p w:rsidR="005E7721" w:rsidRPr="005E7721" w:rsidRDefault="005E7721" w:rsidP="005E7721">
      <w:pPr>
        <w:shd w:val="clear" w:color="auto" w:fill="FFFFFF"/>
        <w:spacing w:after="101" w:line="240" w:lineRule="auto"/>
        <w:ind w:firstLine="288"/>
        <w:jc w:val="both"/>
        <w:rPr>
          <w:rFonts w:ascii="Arial" w:eastAsia="Times New Roman" w:hAnsi="Arial" w:cs="Arial"/>
          <w:color w:val="2F2F2F"/>
          <w:sz w:val="18"/>
          <w:szCs w:val="18"/>
          <w:lang w:eastAsia="es-MX"/>
        </w:rPr>
      </w:pPr>
      <w:r w:rsidRPr="005E7721">
        <w:rPr>
          <w:rFonts w:ascii="Arial" w:eastAsia="Times New Roman" w:hAnsi="Arial" w:cs="Arial"/>
          <w:b/>
          <w:bCs/>
          <w:color w:val="2F2F2F"/>
          <w:sz w:val="18"/>
          <w:szCs w:val="18"/>
          <w:lang w:eastAsia="es-MX"/>
        </w:rPr>
        <w:t>TERCERO. </w:t>
      </w:r>
      <w:r w:rsidRPr="005E7721">
        <w:rPr>
          <w:rFonts w:ascii="Arial" w:eastAsia="Times New Roman" w:hAnsi="Arial" w:cs="Arial"/>
          <w:color w:val="2F2F2F"/>
          <w:sz w:val="18"/>
          <w:szCs w:val="18"/>
          <w:lang w:eastAsia="es-MX"/>
        </w:rPr>
        <w:t>Las Coordinaciones Generales, Oficinas Estatales y Oficinas de Apoyo del Centro Laboral, podrán convocar al personal necesario para atender los asuntos urgentes relacionados con la administración del Centro Laboral o cualquier tipo de diligencia que sea necesaria para dar trámite y sustanciar los asuntos a que se refieren los artículos TERCERO, CUARTO y QUINTO del presente Acuerdo.</w:t>
      </w:r>
    </w:p>
    <w:p w:rsidR="005E7721" w:rsidRPr="005E7721" w:rsidRDefault="005E7721" w:rsidP="005E7721">
      <w:pPr>
        <w:shd w:val="clear" w:color="auto" w:fill="FFFFFF"/>
        <w:spacing w:after="101" w:line="240" w:lineRule="auto"/>
        <w:ind w:firstLine="288"/>
        <w:jc w:val="both"/>
        <w:rPr>
          <w:rFonts w:ascii="Arial" w:eastAsia="Times New Roman" w:hAnsi="Arial" w:cs="Arial"/>
          <w:color w:val="2F2F2F"/>
          <w:sz w:val="18"/>
          <w:szCs w:val="18"/>
          <w:lang w:eastAsia="es-MX"/>
        </w:rPr>
      </w:pPr>
      <w:r w:rsidRPr="005E7721">
        <w:rPr>
          <w:rFonts w:ascii="Arial" w:eastAsia="Times New Roman" w:hAnsi="Arial" w:cs="Arial"/>
          <w:color w:val="2F2F2F"/>
          <w:sz w:val="18"/>
          <w:szCs w:val="18"/>
          <w:lang w:eastAsia="es-MX"/>
        </w:rPr>
        <w:t>Dado en la Ciudad de México, a los catorce días del mes de diciembre de 2021.- El Director General del Centro Federal de Conciliación y Registro Laboral, </w:t>
      </w:r>
      <w:r w:rsidRPr="005E7721">
        <w:rPr>
          <w:rFonts w:ascii="Arial" w:eastAsia="Times New Roman" w:hAnsi="Arial" w:cs="Arial"/>
          <w:b/>
          <w:bCs/>
          <w:color w:val="2F2F2F"/>
          <w:sz w:val="18"/>
          <w:szCs w:val="18"/>
          <w:lang w:eastAsia="es-MX"/>
        </w:rPr>
        <w:t xml:space="preserve">Alfredo Domínguez </w:t>
      </w:r>
      <w:proofErr w:type="spellStart"/>
      <w:r w:rsidRPr="005E7721">
        <w:rPr>
          <w:rFonts w:ascii="Arial" w:eastAsia="Times New Roman" w:hAnsi="Arial" w:cs="Arial"/>
          <w:b/>
          <w:bCs/>
          <w:color w:val="2F2F2F"/>
          <w:sz w:val="18"/>
          <w:szCs w:val="18"/>
          <w:lang w:eastAsia="es-MX"/>
        </w:rPr>
        <w:t>Marrufo</w:t>
      </w:r>
      <w:proofErr w:type="spellEnd"/>
      <w:r w:rsidRPr="005E7721">
        <w:rPr>
          <w:rFonts w:ascii="Arial" w:eastAsia="Times New Roman" w:hAnsi="Arial" w:cs="Arial"/>
          <w:color w:val="2F2F2F"/>
          <w:sz w:val="18"/>
          <w:szCs w:val="18"/>
          <w:lang w:eastAsia="es-MX"/>
        </w:rPr>
        <w:t>.- Rúbrica.</w:t>
      </w:r>
    </w:p>
    <w:sectPr w:rsidR="005E7721" w:rsidRPr="005E772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721"/>
    <w:rsid w:val="005E7721"/>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72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72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968389">
      <w:bodyDiv w:val="1"/>
      <w:marLeft w:val="0"/>
      <w:marRight w:val="0"/>
      <w:marTop w:val="0"/>
      <w:marBottom w:val="0"/>
      <w:divBdr>
        <w:top w:val="none" w:sz="0" w:space="0" w:color="auto"/>
        <w:left w:val="none" w:sz="0" w:space="0" w:color="auto"/>
        <w:bottom w:val="none" w:sz="0" w:space="0" w:color="auto"/>
        <w:right w:val="none" w:sz="0" w:space="0" w:color="auto"/>
      </w:divBdr>
      <w:divsChild>
        <w:div w:id="157886488">
          <w:marLeft w:val="0"/>
          <w:marRight w:val="0"/>
          <w:marTop w:val="0"/>
          <w:marBottom w:val="101"/>
          <w:divBdr>
            <w:top w:val="none" w:sz="0" w:space="0" w:color="auto"/>
            <w:left w:val="none" w:sz="0" w:space="0" w:color="auto"/>
            <w:bottom w:val="none" w:sz="0" w:space="0" w:color="auto"/>
            <w:right w:val="none" w:sz="0" w:space="0" w:color="auto"/>
          </w:divBdr>
        </w:div>
        <w:div w:id="1088968926">
          <w:marLeft w:val="0"/>
          <w:marRight w:val="0"/>
          <w:marTop w:val="101"/>
          <w:marBottom w:val="101"/>
          <w:divBdr>
            <w:top w:val="none" w:sz="0" w:space="0" w:color="auto"/>
            <w:left w:val="none" w:sz="0" w:space="0" w:color="auto"/>
            <w:bottom w:val="none" w:sz="0" w:space="0" w:color="auto"/>
            <w:right w:val="none" w:sz="0" w:space="0" w:color="auto"/>
          </w:divBdr>
        </w:div>
        <w:div w:id="1770848980">
          <w:marLeft w:val="0"/>
          <w:marRight w:val="0"/>
          <w:marTop w:val="0"/>
          <w:marBottom w:val="101"/>
          <w:divBdr>
            <w:top w:val="none" w:sz="0" w:space="0" w:color="auto"/>
            <w:left w:val="none" w:sz="0" w:space="0" w:color="auto"/>
            <w:bottom w:val="none" w:sz="0" w:space="0" w:color="auto"/>
            <w:right w:val="none" w:sz="0" w:space="0" w:color="auto"/>
          </w:divBdr>
        </w:div>
        <w:div w:id="2056812183">
          <w:marLeft w:val="0"/>
          <w:marRight w:val="0"/>
          <w:marTop w:val="0"/>
          <w:marBottom w:val="101"/>
          <w:divBdr>
            <w:top w:val="none" w:sz="0" w:space="0" w:color="auto"/>
            <w:left w:val="none" w:sz="0" w:space="0" w:color="auto"/>
            <w:bottom w:val="none" w:sz="0" w:space="0" w:color="auto"/>
            <w:right w:val="none" w:sz="0" w:space="0" w:color="auto"/>
          </w:divBdr>
        </w:div>
        <w:div w:id="819687092">
          <w:marLeft w:val="0"/>
          <w:marRight w:val="0"/>
          <w:marTop w:val="0"/>
          <w:marBottom w:val="101"/>
          <w:divBdr>
            <w:top w:val="none" w:sz="0" w:space="0" w:color="auto"/>
            <w:left w:val="none" w:sz="0" w:space="0" w:color="auto"/>
            <w:bottom w:val="none" w:sz="0" w:space="0" w:color="auto"/>
            <w:right w:val="none" w:sz="0" w:space="0" w:color="auto"/>
          </w:divBdr>
        </w:div>
        <w:div w:id="546256076">
          <w:marLeft w:val="0"/>
          <w:marRight w:val="0"/>
          <w:marTop w:val="0"/>
          <w:marBottom w:val="101"/>
          <w:divBdr>
            <w:top w:val="none" w:sz="0" w:space="0" w:color="auto"/>
            <w:left w:val="none" w:sz="0" w:space="0" w:color="auto"/>
            <w:bottom w:val="none" w:sz="0" w:space="0" w:color="auto"/>
            <w:right w:val="none" w:sz="0" w:space="0" w:color="auto"/>
          </w:divBdr>
        </w:div>
        <w:div w:id="44765770">
          <w:marLeft w:val="0"/>
          <w:marRight w:val="0"/>
          <w:marTop w:val="0"/>
          <w:marBottom w:val="101"/>
          <w:divBdr>
            <w:top w:val="none" w:sz="0" w:space="0" w:color="auto"/>
            <w:left w:val="none" w:sz="0" w:space="0" w:color="auto"/>
            <w:bottom w:val="none" w:sz="0" w:space="0" w:color="auto"/>
            <w:right w:val="none" w:sz="0" w:space="0" w:color="auto"/>
          </w:divBdr>
        </w:div>
        <w:div w:id="600380118">
          <w:marLeft w:val="0"/>
          <w:marRight w:val="0"/>
          <w:marTop w:val="0"/>
          <w:marBottom w:val="101"/>
          <w:divBdr>
            <w:top w:val="none" w:sz="0" w:space="0" w:color="auto"/>
            <w:left w:val="none" w:sz="0" w:space="0" w:color="auto"/>
            <w:bottom w:val="none" w:sz="0" w:space="0" w:color="auto"/>
            <w:right w:val="none" w:sz="0" w:space="0" w:color="auto"/>
          </w:divBdr>
        </w:div>
        <w:div w:id="701516545">
          <w:marLeft w:val="0"/>
          <w:marRight w:val="0"/>
          <w:marTop w:val="0"/>
          <w:marBottom w:val="101"/>
          <w:divBdr>
            <w:top w:val="none" w:sz="0" w:space="0" w:color="auto"/>
            <w:left w:val="none" w:sz="0" w:space="0" w:color="auto"/>
            <w:bottom w:val="none" w:sz="0" w:space="0" w:color="auto"/>
            <w:right w:val="none" w:sz="0" w:space="0" w:color="auto"/>
          </w:divBdr>
        </w:div>
        <w:div w:id="2111272421">
          <w:marLeft w:val="0"/>
          <w:marRight w:val="0"/>
          <w:marTop w:val="0"/>
          <w:marBottom w:val="101"/>
          <w:divBdr>
            <w:top w:val="none" w:sz="0" w:space="0" w:color="auto"/>
            <w:left w:val="none" w:sz="0" w:space="0" w:color="auto"/>
            <w:bottom w:val="none" w:sz="0" w:space="0" w:color="auto"/>
            <w:right w:val="none" w:sz="0" w:space="0" w:color="auto"/>
          </w:divBdr>
        </w:div>
        <w:div w:id="2119791142">
          <w:marLeft w:val="0"/>
          <w:marRight w:val="0"/>
          <w:marTop w:val="0"/>
          <w:marBottom w:val="101"/>
          <w:divBdr>
            <w:top w:val="none" w:sz="0" w:space="0" w:color="auto"/>
            <w:left w:val="none" w:sz="0" w:space="0" w:color="auto"/>
            <w:bottom w:val="none" w:sz="0" w:space="0" w:color="auto"/>
            <w:right w:val="none" w:sz="0" w:space="0" w:color="auto"/>
          </w:divBdr>
        </w:div>
        <w:div w:id="1136338046">
          <w:marLeft w:val="0"/>
          <w:marRight w:val="0"/>
          <w:marTop w:val="0"/>
          <w:marBottom w:val="101"/>
          <w:divBdr>
            <w:top w:val="none" w:sz="0" w:space="0" w:color="auto"/>
            <w:left w:val="none" w:sz="0" w:space="0" w:color="auto"/>
            <w:bottom w:val="none" w:sz="0" w:space="0" w:color="auto"/>
            <w:right w:val="none" w:sz="0" w:space="0" w:color="auto"/>
          </w:divBdr>
        </w:div>
        <w:div w:id="430391130">
          <w:marLeft w:val="0"/>
          <w:marRight w:val="0"/>
          <w:marTop w:val="0"/>
          <w:marBottom w:val="101"/>
          <w:divBdr>
            <w:top w:val="none" w:sz="0" w:space="0" w:color="auto"/>
            <w:left w:val="none" w:sz="0" w:space="0" w:color="auto"/>
            <w:bottom w:val="none" w:sz="0" w:space="0" w:color="auto"/>
            <w:right w:val="none" w:sz="0" w:space="0" w:color="auto"/>
          </w:divBdr>
        </w:div>
        <w:div w:id="2123649431">
          <w:marLeft w:val="0"/>
          <w:marRight w:val="0"/>
          <w:marTop w:val="0"/>
          <w:marBottom w:val="101"/>
          <w:divBdr>
            <w:top w:val="none" w:sz="0" w:space="0" w:color="auto"/>
            <w:left w:val="none" w:sz="0" w:space="0" w:color="auto"/>
            <w:bottom w:val="none" w:sz="0" w:space="0" w:color="auto"/>
            <w:right w:val="none" w:sz="0" w:space="0" w:color="auto"/>
          </w:divBdr>
        </w:div>
        <w:div w:id="546180891">
          <w:marLeft w:val="0"/>
          <w:marRight w:val="0"/>
          <w:marTop w:val="0"/>
          <w:marBottom w:val="101"/>
          <w:divBdr>
            <w:top w:val="none" w:sz="0" w:space="0" w:color="auto"/>
            <w:left w:val="none" w:sz="0" w:space="0" w:color="auto"/>
            <w:bottom w:val="none" w:sz="0" w:space="0" w:color="auto"/>
            <w:right w:val="none" w:sz="0" w:space="0" w:color="auto"/>
          </w:divBdr>
        </w:div>
        <w:div w:id="2085713951">
          <w:marLeft w:val="0"/>
          <w:marRight w:val="0"/>
          <w:marTop w:val="101"/>
          <w:marBottom w:val="101"/>
          <w:divBdr>
            <w:top w:val="none" w:sz="0" w:space="0" w:color="auto"/>
            <w:left w:val="none" w:sz="0" w:space="0" w:color="auto"/>
            <w:bottom w:val="none" w:sz="0" w:space="0" w:color="auto"/>
            <w:right w:val="none" w:sz="0" w:space="0" w:color="auto"/>
          </w:divBdr>
        </w:div>
        <w:div w:id="1489243539">
          <w:marLeft w:val="0"/>
          <w:marRight w:val="0"/>
          <w:marTop w:val="0"/>
          <w:marBottom w:val="101"/>
          <w:divBdr>
            <w:top w:val="none" w:sz="0" w:space="0" w:color="auto"/>
            <w:left w:val="none" w:sz="0" w:space="0" w:color="auto"/>
            <w:bottom w:val="none" w:sz="0" w:space="0" w:color="auto"/>
            <w:right w:val="none" w:sz="0" w:space="0" w:color="auto"/>
          </w:divBdr>
        </w:div>
        <w:div w:id="1320966583">
          <w:marLeft w:val="0"/>
          <w:marRight w:val="0"/>
          <w:marTop w:val="0"/>
          <w:marBottom w:val="101"/>
          <w:divBdr>
            <w:top w:val="none" w:sz="0" w:space="0" w:color="auto"/>
            <w:left w:val="none" w:sz="0" w:space="0" w:color="auto"/>
            <w:bottom w:val="none" w:sz="0" w:space="0" w:color="auto"/>
            <w:right w:val="none" w:sz="0" w:space="0" w:color="auto"/>
          </w:divBdr>
        </w:div>
        <w:div w:id="1785730044">
          <w:marLeft w:val="0"/>
          <w:marRight w:val="0"/>
          <w:marTop w:val="0"/>
          <w:marBottom w:val="101"/>
          <w:divBdr>
            <w:top w:val="none" w:sz="0" w:space="0" w:color="auto"/>
            <w:left w:val="none" w:sz="0" w:space="0" w:color="auto"/>
            <w:bottom w:val="none" w:sz="0" w:space="0" w:color="auto"/>
            <w:right w:val="none" w:sz="0" w:space="0" w:color="auto"/>
          </w:divBdr>
        </w:div>
        <w:div w:id="758259305">
          <w:marLeft w:val="720"/>
          <w:marRight w:val="0"/>
          <w:marTop w:val="0"/>
          <w:marBottom w:val="101"/>
          <w:divBdr>
            <w:top w:val="none" w:sz="0" w:space="0" w:color="auto"/>
            <w:left w:val="none" w:sz="0" w:space="0" w:color="auto"/>
            <w:bottom w:val="none" w:sz="0" w:space="0" w:color="auto"/>
            <w:right w:val="none" w:sz="0" w:space="0" w:color="auto"/>
          </w:divBdr>
        </w:div>
        <w:div w:id="1053847125">
          <w:marLeft w:val="720"/>
          <w:marRight w:val="0"/>
          <w:marTop w:val="0"/>
          <w:marBottom w:val="101"/>
          <w:divBdr>
            <w:top w:val="none" w:sz="0" w:space="0" w:color="auto"/>
            <w:left w:val="none" w:sz="0" w:space="0" w:color="auto"/>
            <w:bottom w:val="none" w:sz="0" w:space="0" w:color="auto"/>
            <w:right w:val="none" w:sz="0" w:space="0" w:color="auto"/>
          </w:divBdr>
        </w:div>
        <w:div w:id="1570457899">
          <w:marLeft w:val="720"/>
          <w:marRight w:val="0"/>
          <w:marTop w:val="0"/>
          <w:marBottom w:val="101"/>
          <w:divBdr>
            <w:top w:val="none" w:sz="0" w:space="0" w:color="auto"/>
            <w:left w:val="none" w:sz="0" w:space="0" w:color="auto"/>
            <w:bottom w:val="none" w:sz="0" w:space="0" w:color="auto"/>
            <w:right w:val="none" w:sz="0" w:space="0" w:color="auto"/>
          </w:divBdr>
        </w:div>
        <w:div w:id="227804725">
          <w:marLeft w:val="720"/>
          <w:marRight w:val="0"/>
          <w:marTop w:val="0"/>
          <w:marBottom w:val="101"/>
          <w:divBdr>
            <w:top w:val="none" w:sz="0" w:space="0" w:color="auto"/>
            <w:left w:val="none" w:sz="0" w:space="0" w:color="auto"/>
            <w:bottom w:val="none" w:sz="0" w:space="0" w:color="auto"/>
            <w:right w:val="none" w:sz="0" w:space="0" w:color="auto"/>
          </w:divBdr>
        </w:div>
        <w:div w:id="581377679">
          <w:marLeft w:val="720"/>
          <w:marRight w:val="0"/>
          <w:marTop w:val="0"/>
          <w:marBottom w:val="101"/>
          <w:divBdr>
            <w:top w:val="none" w:sz="0" w:space="0" w:color="auto"/>
            <w:left w:val="none" w:sz="0" w:space="0" w:color="auto"/>
            <w:bottom w:val="none" w:sz="0" w:space="0" w:color="auto"/>
            <w:right w:val="none" w:sz="0" w:space="0" w:color="auto"/>
          </w:divBdr>
        </w:div>
        <w:div w:id="1747654781">
          <w:marLeft w:val="720"/>
          <w:marRight w:val="0"/>
          <w:marTop w:val="0"/>
          <w:marBottom w:val="101"/>
          <w:divBdr>
            <w:top w:val="none" w:sz="0" w:space="0" w:color="auto"/>
            <w:left w:val="none" w:sz="0" w:space="0" w:color="auto"/>
            <w:bottom w:val="none" w:sz="0" w:space="0" w:color="auto"/>
            <w:right w:val="none" w:sz="0" w:space="0" w:color="auto"/>
          </w:divBdr>
        </w:div>
        <w:div w:id="212081539">
          <w:marLeft w:val="720"/>
          <w:marRight w:val="0"/>
          <w:marTop w:val="0"/>
          <w:marBottom w:val="101"/>
          <w:divBdr>
            <w:top w:val="none" w:sz="0" w:space="0" w:color="auto"/>
            <w:left w:val="none" w:sz="0" w:space="0" w:color="auto"/>
            <w:bottom w:val="none" w:sz="0" w:space="0" w:color="auto"/>
            <w:right w:val="none" w:sz="0" w:space="0" w:color="auto"/>
          </w:divBdr>
        </w:div>
        <w:div w:id="2048094750">
          <w:marLeft w:val="720"/>
          <w:marRight w:val="0"/>
          <w:marTop w:val="0"/>
          <w:marBottom w:val="101"/>
          <w:divBdr>
            <w:top w:val="none" w:sz="0" w:space="0" w:color="auto"/>
            <w:left w:val="none" w:sz="0" w:space="0" w:color="auto"/>
            <w:bottom w:val="none" w:sz="0" w:space="0" w:color="auto"/>
            <w:right w:val="none" w:sz="0" w:space="0" w:color="auto"/>
          </w:divBdr>
        </w:div>
        <w:div w:id="421341076">
          <w:marLeft w:val="720"/>
          <w:marRight w:val="0"/>
          <w:marTop w:val="0"/>
          <w:marBottom w:val="101"/>
          <w:divBdr>
            <w:top w:val="none" w:sz="0" w:space="0" w:color="auto"/>
            <w:left w:val="none" w:sz="0" w:space="0" w:color="auto"/>
            <w:bottom w:val="none" w:sz="0" w:space="0" w:color="auto"/>
            <w:right w:val="none" w:sz="0" w:space="0" w:color="auto"/>
          </w:divBdr>
        </w:div>
        <w:div w:id="1638073329">
          <w:marLeft w:val="720"/>
          <w:marRight w:val="0"/>
          <w:marTop w:val="0"/>
          <w:marBottom w:val="101"/>
          <w:divBdr>
            <w:top w:val="none" w:sz="0" w:space="0" w:color="auto"/>
            <w:left w:val="none" w:sz="0" w:space="0" w:color="auto"/>
            <w:bottom w:val="none" w:sz="0" w:space="0" w:color="auto"/>
            <w:right w:val="none" w:sz="0" w:space="0" w:color="auto"/>
          </w:divBdr>
        </w:div>
        <w:div w:id="981693370">
          <w:marLeft w:val="720"/>
          <w:marRight w:val="0"/>
          <w:marTop w:val="0"/>
          <w:marBottom w:val="101"/>
          <w:divBdr>
            <w:top w:val="none" w:sz="0" w:space="0" w:color="auto"/>
            <w:left w:val="none" w:sz="0" w:space="0" w:color="auto"/>
            <w:bottom w:val="none" w:sz="0" w:space="0" w:color="auto"/>
            <w:right w:val="none" w:sz="0" w:space="0" w:color="auto"/>
          </w:divBdr>
        </w:div>
        <w:div w:id="1241215602">
          <w:marLeft w:val="0"/>
          <w:marRight w:val="0"/>
          <w:marTop w:val="0"/>
          <w:marBottom w:val="101"/>
          <w:divBdr>
            <w:top w:val="none" w:sz="0" w:space="0" w:color="auto"/>
            <w:left w:val="none" w:sz="0" w:space="0" w:color="auto"/>
            <w:bottom w:val="none" w:sz="0" w:space="0" w:color="auto"/>
            <w:right w:val="none" w:sz="0" w:space="0" w:color="auto"/>
          </w:divBdr>
        </w:div>
        <w:div w:id="420759783">
          <w:marLeft w:val="0"/>
          <w:marRight w:val="0"/>
          <w:marTop w:val="0"/>
          <w:marBottom w:val="101"/>
          <w:divBdr>
            <w:top w:val="none" w:sz="0" w:space="0" w:color="auto"/>
            <w:left w:val="none" w:sz="0" w:space="0" w:color="auto"/>
            <w:bottom w:val="none" w:sz="0" w:space="0" w:color="auto"/>
            <w:right w:val="none" w:sz="0" w:space="0" w:color="auto"/>
          </w:divBdr>
        </w:div>
        <w:div w:id="1829907353">
          <w:marLeft w:val="0"/>
          <w:marRight w:val="0"/>
          <w:marTop w:val="0"/>
          <w:marBottom w:val="101"/>
          <w:divBdr>
            <w:top w:val="none" w:sz="0" w:space="0" w:color="auto"/>
            <w:left w:val="none" w:sz="0" w:space="0" w:color="auto"/>
            <w:bottom w:val="none" w:sz="0" w:space="0" w:color="auto"/>
            <w:right w:val="none" w:sz="0" w:space="0" w:color="auto"/>
          </w:divBdr>
        </w:div>
        <w:div w:id="664672037">
          <w:marLeft w:val="0"/>
          <w:marRight w:val="0"/>
          <w:marTop w:val="0"/>
          <w:marBottom w:val="101"/>
          <w:divBdr>
            <w:top w:val="none" w:sz="0" w:space="0" w:color="auto"/>
            <w:left w:val="none" w:sz="0" w:space="0" w:color="auto"/>
            <w:bottom w:val="none" w:sz="0" w:space="0" w:color="auto"/>
            <w:right w:val="none" w:sz="0" w:space="0" w:color="auto"/>
          </w:divBdr>
        </w:div>
        <w:div w:id="128590414">
          <w:marLeft w:val="0"/>
          <w:marRight w:val="0"/>
          <w:marTop w:val="0"/>
          <w:marBottom w:val="101"/>
          <w:divBdr>
            <w:top w:val="none" w:sz="0" w:space="0" w:color="auto"/>
            <w:left w:val="none" w:sz="0" w:space="0" w:color="auto"/>
            <w:bottom w:val="none" w:sz="0" w:space="0" w:color="auto"/>
            <w:right w:val="none" w:sz="0" w:space="0" w:color="auto"/>
          </w:divBdr>
        </w:div>
        <w:div w:id="259141507">
          <w:marLeft w:val="0"/>
          <w:marRight w:val="0"/>
          <w:marTop w:val="101"/>
          <w:marBottom w:val="101"/>
          <w:divBdr>
            <w:top w:val="none" w:sz="0" w:space="0" w:color="auto"/>
            <w:left w:val="none" w:sz="0" w:space="0" w:color="auto"/>
            <w:bottom w:val="none" w:sz="0" w:space="0" w:color="auto"/>
            <w:right w:val="none" w:sz="0" w:space="0" w:color="auto"/>
          </w:divBdr>
        </w:div>
        <w:div w:id="1166558710">
          <w:marLeft w:val="0"/>
          <w:marRight w:val="0"/>
          <w:marTop w:val="0"/>
          <w:marBottom w:val="101"/>
          <w:divBdr>
            <w:top w:val="none" w:sz="0" w:space="0" w:color="auto"/>
            <w:left w:val="none" w:sz="0" w:space="0" w:color="auto"/>
            <w:bottom w:val="none" w:sz="0" w:space="0" w:color="auto"/>
            <w:right w:val="none" w:sz="0" w:space="0" w:color="auto"/>
          </w:divBdr>
        </w:div>
        <w:div w:id="445389051">
          <w:marLeft w:val="0"/>
          <w:marRight w:val="0"/>
          <w:marTop w:val="0"/>
          <w:marBottom w:val="101"/>
          <w:divBdr>
            <w:top w:val="none" w:sz="0" w:space="0" w:color="auto"/>
            <w:left w:val="none" w:sz="0" w:space="0" w:color="auto"/>
            <w:bottom w:val="none" w:sz="0" w:space="0" w:color="auto"/>
            <w:right w:val="none" w:sz="0" w:space="0" w:color="auto"/>
          </w:divBdr>
        </w:div>
        <w:div w:id="1628974329">
          <w:marLeft w:val="0"/>
          <w:marRight w:val="0"/>
          <w:marTop w:val="0"/>
          <w:marBottom w:val="101"/>
          <w:divBdr>
            <w:top w:val="none" w:sz="0" w:space="0" w:color="auto"/>
            <w:left w:val="none" w:sz="0" w:space="0" w:color="auto"/>
            <w:bottom w:val="none" w:sz="0" w:space="0" w:color="auto"/>
            <w:right w:val="none" w:sz="0" w:space="0" w:color="auto"/>
          </w:divBdr>
        </w:div>
        <w:div w:id="164778243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2059</Words>
  <Characters>11329</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2021-12-17T14:33:00Z</dcterms:created>
  <dcterms:modified xsi:type="dcterms:W3CDTF">2021-12-17T14:35:00Z</dcterms:modified>
</cp:coreProperties>
</file>