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Cuarta Resolución de Modificaciones a la Resolución Miscelánea Fiscal para 2020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11 de diciembre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Público.- Servicio de Administración Tributaria.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CUARTA RESOLUCIÓN DE MODIFICACIONES A LA RESOLUCIÓN MISCELÁNEA FISCAL PARA 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Con fundamento en los artículos 16 y 31 de la Ley Orgánica de la Administración Pública Federal; 33, fracción I, inciso g) del Código Fiscal de la Federación; 14, fracción III de la Ley del Servicio de Administración Tributaria, y 8 del Reglamento Interior del Servicio de Administración Tributaria, se resuelve: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PRIMERO.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reforman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las reglas 2.1.6., fracción II, primer párrafo y 2.11.2., y se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adiciona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la regla 2.1.6., fracción I, inciso c), de la Resolución Miscelánea Fiscal para 2020, para quedar de la siguiente manera: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left="2600" w:hanging="1160"/>
        <w:jc w:val="both"/>
        <w:rPr>
          <w:b w:val="1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Días inhábiles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left="2600" w:hanging="116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2.1.6.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left="2320" w:hanging="440"/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left="2740" w:hanging="44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18"/>
          <w:szCs w:val="18"/>
          <w:rtl w:val="0"/>
        </w:rPr>
        <w:t xml:space="preserve">Los días 17, 18, 21, 22, 23, 28, 29 y 30 de diciembre de 2020, así como el 4 y 5 de enero de 2021.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left="23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Son días inhábiles para el SAT el 9 y 10 de abril de 2020, el 2 de noviembre de 2020, así como los días 24 y 31 de diciembre de 2020, y el 6 de enero de 2021.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left="2600" w:hanging="1160"/>
        <w:jc w:val="both"/>
        <w:rPr>
          <w:b w:val="1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b w:val="1"/>
          <w:sz w:val="18"/>
          <w:szCs w:val="18"/>
          <w:rtl w:val="0"/>
        </w:rPr>
        <w:t xml:space="preserve">...</w:t>
      </w:r>
    </w:p>
    <w:p w:rsidR="00000000" w:rsidDel="00000000" w:rsidP="00000000" w:rsidRDefault="00000000" w:rsidRPr="00000000" w14:paraId="0000000F">
      <w:pPr>
        <w:shd w:fill="ffffff" w:val="clear"/>
        <w:spacing w:after="100" w:lineRule="auto"/>
        <w:ind w:left="2600" w:hanging="1160"/>
        <w:jc w:val="both"/>
        <w:rPr>
          <w:i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CFF 12, 13, Ley Aduanera 18, Ley de Coordinación Fiscal 13, 14</w:t>
      </w:r>
    </w:p>
    <w:p w:rsidR="00000000" w:rsidDel="00000000" w:rsidP="00000000" w:rsidRDefault="00000000" w:rsidRPr="00000000" w14:paraId="00000010">
      <w:pPr>
        <w:shd w:fill="ffffff" w:val="clear"/>
        <w:spacing w:after="100" w:lineRule="auto"/>
        <w:ind w:left="2600" w:hanging="116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Forma de realizar el pago de derechos sobre minería</w:t>
      </w:r>
    </w:p>
    <w:p w:rsidR="00000000" w:rsidDel="00000000" w:rsidP="00000000" w:rsidRDefault="00000000" w:rsidRPr="00000000" w14:paraId="00000011">
      <w:pPr>
        <w:shd w:fill="ffffff" w:val="clear"/>
        <w:spacing w:after="100" w:lineRule="auto"/>
        <w:ind w:left="2600" w:hanging="116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2.11.2.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contribuyentes que de conformidad con el Título II, Capítulo XIII de la LFD se encuentren obligados al pago de los derechos sobre minería, deberán presentar declaración conforme a las fichas de trámite 2/DERECHOS "Declaración del Pago del Derecho sobre Minería", 3/DERECHOS "Declaración del Pago del Derecho Especial sobre Minería", 4/DERECHOS "Declaración del Pago del Derecho Adicional sobre Minería" y 5/DERECHOS "Declaración del Pago del Derecho Extraordinario sobre Minería", contenidas en el Anexo 1-A.</w:t>
      </w:r>
    </w:p>
    <w:p w:rsidR="00000000" w:rsidDel="00000000" w:rsidP="00000000" w:rsidRDefault="00000000" w:rsidRPr="00000000" w14:paraId="00000012">
      <w:pPr>
        <w:shd w:fill="ffffff" w:val="clear"/>
        <w:spacing w:after="100" w:lineRule="auto"/>
        <w:ind w:left="2600" w:hanging="116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tendrá por cumplida la obligación de presentar las declaraciones a que se refiere la presente regla, con el envío de las mismas y efectuado el pago que en su caso corresponda, conforme lo dispuesto en las fichas de trámite referidas en el párrafo que antecede.</w:t>
      </w:r>
    </w:p>
    <w:p w:rsidR="00000000" w:rsidDel="00000000" w:rsidP="00000000" w:rsidRDefault="00000000" w:rsidRPr="00000000" w14:paraId="00000013">
      <w:pPr>
        <w:shd w:fill="ffffff" w:val="clear"/>
        <w:spacing w:after="100" w:lineRule="auto"/>
        <w:ind w:left="2600" w:hanging="116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contribuyentes que deban presentar declaraciones complementarias deberán efectuarlas conforme lo establecido en las fichas de trámite citadas en el primer párrafo de esta regla.</w:t>
      </w:r>
    </w:p>
    <w:p w:rsidR="00000000" w:rsidDel="00000000" w:rsidP="00000000" w:rsidRDefault="00000000" w:rsidRPr="00000000" w14:paraId="00000014">
      <w:pPr>
        <w:shd w:fill="ffffff" w:val="clear"/>
        <w:spacing w:after="100" w:lineRule="auto"/>
        <w:ind w:left="2600" w:hanging="1160"/>
        <w:jc w:val="both"/>
        <w:rPr>
          <w:i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CFF 6, 20, 31, LFD 262, 263, 265, 264, 266, 268, 269, 270, RCFF 41</w:t>
      </w:r>
    </w:p>
    <w:p w:rsidR="00000000" w:rsidDel="00000000" w:rsidP="00000000" w:rsidRDefault="00000000" w:rsidRPr="00000000" w14:paraId="0000001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SEGUNDO.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De conformidad con lo dispuesto en el artículo 5 de la Ley Federal de los Derechos del Contribuyente, se da a conocer el texto actualizado de las reglas a que se refiere el Resolutivo Primero de la presente Resolución.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En caso de discrepancia entre el contenido del Resolutivo Primero y del presente, prevalece el texto del Resolutivo Primero.</w:t>
      </w:r>
    </w:p>
    <w:p w:rsidR="00000000" w:rsidDel="00000000" w:rsidP="00000000" w:rsidRDefault="00000000" w:rsidRPr="00000000" w14:paraId="00000017">
      <w:pPr>
        <w:shd w:fill="ffffff" w:val="clear"/>
        <w:spacing w:after="100" w:lineRule="auto"/>
        <w:ind w:left="2600" w:hanging="116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hd w:fill="ffffff" w:val="clear"/>
        <w:spacing w:after="100" w:lineRule="auto"/>
        <w:ind w:left="2600" w:hanging="116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Días inhábiles</w:t>
      </w:r>
    </w:p>
    <w:p w:rsidR="00000000" w:rsidDel="00000000" w:rsidP="00000000" w:rsidRDefault="00000000" w:rsidRPr="00000000" w14:paraId="00000019">
      <w:pPr>
        <w:shd w:fill="ffffff" w:val="clear"/>
        <w:spacing w:after="100" w:lineRule="auto"/>
        <w:ind w:left="2600" w:hanging="116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2.1.6.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Para los efectos del artículo 12, primer y segundo párrafos del CFF, se estará a lo siguiente:</w:t>
      </w:r>
    </w:p>
    <w:p w:rsidR="00000000" w:rsidDel="00000000" w:rsidP="00000000" w:rsidRDefault="00000000" w:rsidRPr="00000000" w14:paraId="0000001A">
      <w:pPr>
        <w:shd w:fill="ffffff" w:val="clear"/>
        <w:spacing w:after="100" w:lineRule="auto"/>
        <w:ind w:left="23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Son periodos generales de vacaciones para el SAT:</w:t>
      </w:r>
    </w:p>
    <w:p w:rsidR="00000000" w:rsidDel="00000000" w:rsidP="00000000" w:rsidRDefault="00000000" w:rsidRPr="00000000" w14:paraId="0000001B">
      <w:pPr>
        <w:shd w:fill="ffffff" w:val="clear"/>
        <w:spacing w:after="100" w:lineRule="auto"/>
        <w:ind w:left="274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El segundo periodo general de vacaciones del 2019, comprende los días del 23 de diciembre de 2019 al 7 de enero de 2020.</w:t>
      </w:r>
    </w:p>
    <w:p w:rsidR="00000000" w:rsidDel="00000000" w:rsidP="00000000" w:rsidRDefault="00000000" w:rsidRPr="00000000" w14:paraId="0000001C">
      <w:pPr>
        <w:shd w:fill="ffffff" w:val="clear"/>
        <w:spacing w:after="100" w:lineRule="auto"/>
        <w:ind w:left="274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b)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Para las áreas de devoluciones y las que ejercen facultades de comprobación, los días del 20 al 31 de julio de 2020</w:t>
      </w:r>
    </w:p>
    <w:p w:rsidR="00000000" w:rsidDel="00000000" w:rsidP="00000000" w:rsidRDefault="00000000" w:rsidRPr="00000000" w14:paraId="0000001D">
      <w:pPr>
        <w:shd w:fill="ffffff" w:val="clear"/>
        <w:spacing w:after="100" w:lineRule="auto"/>
        <w:ind w:left="2740" w:hanging="44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c)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sz w:val="18"/>
          <w:szCs w:val="18"/>
          <w:rtl w:val="0"/>
        </w:rPr>
        <w:t xml:space="preserve">Los días 17, 18, 21, 22, 23, 28, 29 y 30 de diciembre de 2020, así como el 4 y 5 de enero de 2021.</w:t>
      </w:r>
    </w:p>
    <w:p w:rsidR="00000000" w:rsidDel="00000000" w:rsidP="00000000" w:rsidRDefault="00000000" w:rsidRPr="00000000" w14:paraId="0000001E">
      <w:pPr>
        <w:shd w:fill="ffffff" w:val="clear"/>
        <w:spacing w:after="100" w:lineRule="auto"/>
        <w:ind w:left="23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Son días inhábiles para el SAT el 9 y 10 de abril de 2020, el 2 de noviembre de 2020, así como los días 24 y 31 de diciembre de 2020, y el 6 de enero de 2021.</w:t>
      </w:r>
    </w:p>
    <w:p w:rsidR="00000000" w:rsidDel="00000000" w:rsidP="00000000" w:rsidRDefault="00000000" w:rsidRPr="00000000" w14:paraId="0000001F">
      <w:pPr>
        <w:shd w:fill="ffffff" w:val="clear"/>
        <w:spacing w:after="100" w:lineRule="auto"/>
        <w:ind w:left="23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En dichos periodos y días no se computarán plazos y términos legales correspondientes en los actos, trámites y procedimientos que se sustanciarán ante las unidades administrativas del SAT, lo anterior sin perjuicio del personal que cubra guardias y que es necesario para la operación y continuidad en el ejercicio de las facultades de acuerdo a lo previsto en los artículos 13 del CFF y 18 de la Ley Aduanera.</w:t>
      </w:r>
    </w:p>
    <w:p w:rsidR="00000000" w:rsidDel="00000000" w:rsidP="00000000" w:rsidRDefault="00000000" w:rsidRPr="00000000" w14:paraId="00000020">
      <w:pPr>
        <w:shd w:fill="ffffff" w:val="clear"/>
        <w:spacing w:after="100" w:lineRule="auto"/>
        <w:ind w:left="2320" w:hanging="44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III.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Las autoridades estatales y municipales que actúen como coordinadas en materia fiscal en términos de los artículos 13 y 14 de la Ley de Coordinación Fiscal, podrán considerar los días inhábiles señalados en esta regla, siempre que los den a conocer con ese carácter en su órgano o medio de difusión oficial, de acuerdo a las disposiciones legales y administrativas que las rigen.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left="2600" w:hanging="1160"/>
        <w:jc w:val="both"/>
        <w:rPr>
          <w:i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CFF 12, 13, Ley Aduanera 18, Ley de Coordinación Fiscal 13, 14</w:t>
      </w:r>
    </w:p>
    <w:p w:rsidR="00000000" w:rsidDel="00000000" w:rsidP="00000000" w:rsidRDefault="00000000" w:rsidRPr="00000000" w14:paraId="00000022">
      <w:pPr>
        <w:shd w:fill="ffffff" w:val="clear"/>
        <w:spacing w:after="100" w:lineRule="auto"/>
        <w:ind w:left="2600" w:hanging="1160"/>
        <w:jc w:val="both"/>
        <w:rPr>
          <w:b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Forma de realizar el pago de derechos sobre minería</w:t>
      </w:r>
    </w:p>
    <w:p w:rsidR="00000000" w:rsidDel="00000000" w:rsidP="00000000" w:rsidRDefault="00000000" w:rsidRPr="00000000" w14:paraId="00000023">
      <w:pPr>
        <w:shd w:fill="ffffff" w:val="clear"/>
        <w:spacing w:after="100" w:lineRule="auto"/>
        <w:ind w:left="2600" w:hanging="116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2.11.2.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contribuyentes que de conformidad con el Título II, Capítulo XIII de la LFD se encuentren obligados al pago de los derechos sobre minería, deberán presentar declaración conforme a las fichas de trámite 2/DERECHOS "Declaración del Pago del Derecho sobre Minería", 3/DERECHOS "Declaración del Pago del Derecho Especial sobre Minería", 4/DERECHOS "Declaración del Pago del Derecho Adicional sobre Minería" y 5/DERECHOS "Declaración del Pago del Derecho Extraordinario sobre Minería", contenidas en el Anexo 1-A.</w:t>
      </w:r>
    </w:p>
    <w:p w:rsidR="00000000" w:rsidDel="00000000" w:rsidP="00000000" w:rsidRDefault="00000000" w:rsidRPr="00000000" w14:paraId="00000024">
      <w:pPr>
        <w:shd w:fill="ffffff" w:val="clear"/>
        <w:spacing w:after="100" w:lineRule="auto"/>
        <w:ind w:left="2600" w:hanging="116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Se tendrá por cumplida la obligación de presentar las declaraciones a que se refiere la presente regla, con el envío de las mismas y efectuado el pago que en su caso corresponda, conforme lo dispuesto en las fichas de trámite referidas en el párrafo que antecede.</w:t>
      </w:r>
    </w:p>
    <w:p w:rsidR="00000000" w:rsidDel="00000000" w:rsidP="00000000" w:rsidRDefault="00000000" w:rsidRPr="00000000" w14:paraId="00000025">
      <w:pPr>
        <w:shd w:fill="ffffff" w:val="clear"/>
        <w:spacing w:after="100" w:lineRule="auto"/>
        <w:ind w:left="2600" w:hanging="116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Los contribuyentes que deban presentar declaraciones complementarias deberán efectuarlas conforme lo establecido en las fichas de trámite citadas en el primer párrafo de esta regla.</w:t>
      </w:r>
    </w:p>
    <w:p w:rsidR="00000000" w:rsidDel="00000000" w:rsidP="00000000" w:rsidRDefault="00000000" w:rsidRPr="00000000" w14:paraId="00000026">
      <w:pPr>
        <w:shd w:fill="ffffff" w:val="clear"/>
        <w:spacing w:after="100" w:lineRule="auto"/>
        <w:ind w:left="2600" w:hanging="1160"/>
        <w:jc w:val="both"/>
        <w:rPr>
          <w:i w:val="1"/>
          <w:color w:val="2f2f2f"/>
          <w:sz w:val="18"/>
          <w:szCs w:val="18"/>
        </w:rPr>
      </w:pPr>
      <w:r w:rsidDel="00000000" w:rsidR="00000000" w:rsidRPr="00000000">
        <w:rPr>
          <w:color w:val="2f2f2f"/>
          <w:sz w:val="20"/>
          <w:szCs w:val="20"/>
          <w:rtl w:val="0"/>
        </w:rPr>
        <w:t xml:space="preserve">                   </w:t>
      </w:r>
      <w:r w:rsidDel="00000000" w:rsidR="00000000" w:rsidRPr="00000000">
        <w:rPr>
          <w:i w:val="1"/>
          <w:color w:val="2f2f2f"/>
          <w:sz w:val="18"/>
          <w:szCs w:val="18"/>
          <w:rtl w:val="0"/>
        </w:rPr>
        <w:t xml:space="preserve">CFF 6, 20, 31, LFD 262, 263, 265, 264, 266, 268, 269, 270, RCFF 41</w:t>
      </w:r>
    </w:p>
    <w:p w:rsidR="00000000" w:rsidDel="00000000" w:rsidP="00000000" w:rsidRDefault="00000000" w:rsidRPr="00000000" w14:paraId="00000027">
      <w:pPr>
        <w:shd w:fill="ffffff" w:val="clear"/>
        <w:spacing w:after="100" w:lineRule="auto"/>
        <w:ind w:left="2600" w:hanging="116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Tercero.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 </w:t>
      </w:r>
      <w:r w:rsidDel="00000000" w:rsidR="00000000" w:rsidRPr="00000000">
        <w:rPr>
          <w:sz w:val="18"/>
          <w:szCs w:val="18"/>
          <w:rtl w:val="0"/>
        </w:rPr>
        <w:t xml:space="preserve">Se modifican los Anexos 1, 1-A y 23 de la Resolución Miscelánea Fiscal para 2020.</w:t>
      </w:r>
    </w:p>
    <w:p w:rsidR="00000000" w:rsidDel="00000000" w:rsidP="00000000" w:rsidRDefault="00000000" w:rsidRPr="00000000" w14:paraId="00000028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Transitorios</w:t>
      </w:r>
    </w:p>
    <w:p w:rsidR="00000000" w:rsidDel="00000000" w:rsidP="00000000" w:rsidRDefault="00000000" w:rsidRPr="00000000" w14:paraId="00000029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Primero.</w:t>
      </w:r>
      <w:r w:rsidDel="00000000" w:rsidR="00000000" w:rsidRPr="00000000">
        <w:rPr>
          <w:color w:val="2f2f2f"/>
          <w:sz w:val="20"/>
          <w:szCs w:val="20"/>
          <w:rtl w:val="0"/>
        </w:rPr>
        <w:t xml:space="preserve">      </w:t>
      </w:r>
      <w:r w:rsidDel="00000000" w:rsidR="00000000" w:rsidRPr="00000000">
        <w:rPr>
          <w:sz w:val="18"/>
          <w:szCs w:val="18"/>
          <w:rtl w:val="0"/>
        </w:rPr>
        <w:t xml:space="preserve">La presente Resolución entrará en vigor el día siguiente al de su publicación en el DOF.</w:t>
      </w:r>
    </w:p>
    <w:p w:rsidR="00000000" w:rsidDel="00000000" w:rsidP="00000000" w:rsidRDefault="00000000" w:rsidRPr="00000000" w14:paraId="0000002A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Atentamente,</w:t>
      </w:r>
    </w:p>
    <w:p w:rsidR="00000000" w:rsidDel="00000000" w:rsidP="00000000" w:rsidRDefault="00000000" w:rsidRPr="00000000" w14:paraId="0000002B">
      <w:pPr>
        <w:shd w:fill="ffffff" w:val="clear"/>
        <w:spacing w:after="100" w:lineRule="auto"/>
        <w:ind w:firstLine="280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Ciudad de México a 9 de diciembre de 2020.- La 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Jefa del Servicio de Administración Tributaria, </w:t>
      </w:r>
      <w:r w:rsidDel="00000000" w:rsidR="00000000" w:rsidRPr="00000000">
        <w:rPr>
          <w:b w:val="1"/>
          <w:sz w:val="18"/>
          <w:szCs w:val="18"/>
          <w:rtl w:val="0"/>
        </w:rPr>
        <w:t xml:space="preserve">Raquel Buenrostro Sánchez</w:t>
      </w:r>
      <w:r w:rsidDel="00000000" w:rsidR="00000000" w:rsidRPr="00000000">
        <w:rPr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