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cupo para importar carne de pollo bajo el arancel-cupo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V, 17, 20, 23 y 24 de la Ley de Comercio Exterior; 26 del Reglamento de la Ley de Comercio Exterior; y 5 fracción XVI,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el cual se establece la Tarifa arancelaria aplicable a la importación y exportación de mercancías en territorio nacional, la cual ha sido modificada mediante diversos publicados en el mismo órgano de difusión oficial el 24 de diciembre de 2020 y el 22 de febrero de 2021.</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y ha sido modificado mediante diversos publicados en el mismo órgano de difusión oficial el 27 de diciembre de 2020 y el 23 de febrero de 2021.</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2012-2020, con el objeto de facilitar la aplicación de la nomenclatura arancelaria, mismo que fue modificado mediante diverso publicado en el mismo órgano de difusión oficial el 27 de diciembre de 2020.</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establecer el arancel-cupo aplicable a las fracciones arancelarias 0207.11.01, 0207.12.01, 0207.13.04 y 0207.14.99, correspondientes a carne de pollo fresca, refrigerada o congelada, cuando el importador cuente con certificado de cupo expedido por la Secretaría de Economía.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carne de pollo es la de mayor consumo de la población mexicana y constituye una alta fuente de proteína animal que aporta grandes beneficios al ser humano.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información del Instituto Nacional de Estadística y Geografía (INEGI), en el primer cuatrimestre de 2021, el Índice Nacional de Precios al Consumidor (INPC) de la carne de pollo, mostró un incremento de precios, respecto al mismo periodo de 2020 (enero 21.4%, febrero 24.9%, marzo 21.5% y abril 22.8%). Estos aumentos son los más elevados que se hayan observado en el país desde 1996 (enero 49.8%, febrero 56.3%, marzo 56.4% y abril 53.7%) y 1997 (enero 38.8%, febrero 30.7%, marzo 23.2% y abril 24.3%), cuando se presentaron las alzas más altas desde la creación del INPC de carne de pollo.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necesario ofrecer a la industria alimentaria nacional acceso a las mejores oportunidades disponibles en los mercados internacionales a fin de abatir costos y con ello propiciar su competitividad y mejores precios al consumidor final, por lo que es imprescindible establecer un nivel arancelario preferencial de importación para la carne de pollo.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corresponde a la Secretaría de Economía formular y conducir las políticas generales de industria, comercio exterior, interior, abasto y precios del país, por lo que, resulta necesario establecer un cupo para importar carne de pollo fresca, refrigerada o congelada, con la finalidad de coadyuvar al abasto, la estabilidad de precios en el mercado y a la no erosión del incremento salarial.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CUPO PARA IMPORTAR CARNE DE POLLO BAJO EL</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ARANCEL-CUPO QUE SE INDICA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establece un cupo para importar al 31 de diciembre de 2021, carne de pollo fresca, refrigerada o congelada, con el arancel-cupo establecido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690"/>
        <w:gridCol w:w="5700"/>
        <w:gridCol w:w="1185"/>
        <w:tblGridChange w:id="0">
          <w:tblGrid>
            <w:gridCol w:w="1215"/>
            <w:gridCol w:w="690"/>
            <w:gridCol w:w="5700"/>
            <w:gridCol w:w="118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15">
            <w:pPr>
              <w:spacing w:after="40" w:before="4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b w:val="1"/>
                <w:sz w:val="16"/>
                <w:szCs w:val="16"/>
              </w:rPr>
            </w:pPr>
            <w:r w:rsidDel="00000000" w:rsidR="00000000" w:rsidRPr="00000000">
              <w:rPr>
                <w:b w:val="1"/>
                <w:sz w:val="16"/>
                <w:szCs w:val="16"/>
                <w:rtl w:val="0"/>
              </w:rPr>
              <w:t xml:space="preserve">Descripción 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16"/>
                <w:szCs w:val="16"/>
              </w:rPr>
            </w:pPr>
            <w:r w:rsidDel="00000000" w:rsidR="00000000" w:rsidRPr="00000000">
              <w:rPr>
                <w:b w:val="1"/>
                <w:sz w:val="16"/>
                <w:szCs w:val="16"/>
                <w:rtl w:val="0"/>
              </w:rPr>
              <w:t xml:space="preserve">Monto en</w:t>
            </w:r>
          </w:p>
          <w:p w:rsidR="00000000" w:rsidDel="00000000" w:rsidP="00000000" w:rsidRDefault="00000000" w:rsidRPr="00000000" w14:paraId="00000019">
            <w:pPr>
              <w:spacing w:after="40" w:before="40" w:lineRule="auto"/>
              <w:ind w:left="80" w:firstLine="0"/>
              <w:jc w:val="center"/>
              <w:rPr>
                <w:b w:val="1"/>
                <w:sz w:val="16"/>
                <w:szCs w:val="16"/>
              </w:rPr>
            </w:pPr>
            <w:r w:rsidDel="00000000" w:rsidR="00000000" w:rsidRPr="00000000">
              <w:rPr>
                <w:b w:val="1"/>
                <w:sz w:val="16"/>
                <w:szCs w:val="16"/>
                <w:rtl w:val="0"/>
              </w:rPr>
              <w:t xml:space="preserve">Toneladas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40" w:before="40" w:lineRule="auto"/>
              <w:ind w:left="80" w:firstLine="0"/>
              <w:jc w:val="center"/>
              <w:rPr>
                <w:sz w:val="16"/>
                <w:szCs w:val="16"/>
              </w:rPr>
            </w:pPr>
            <w:r w:rsidDel="00000000" w:rsidR="00000000" w:rsidRPr="00000000">
              <w:rPr>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80" w:firstLine="0"/>
              <w:jc w:val="center"/>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both"/>
              <w:rPr>
                <w:sz w:val="16"/>
                <w:szCs w:val="16"/>
              </w:rPr>
            </w:pPr>
            <w:r w:rsidDel="00000000" w:rsidR="00000000" w:rsidRPr="00000000">
              <w:rPr>
                <w:sz w:val="16"/>
                <w:szCs w:val="16"/>
                <w:rtl w:val="0"/>
              </w:rPr>
              <w:t xml:space="preserve">Sin trocear, frescos o refrigerados.</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40" w:before="40" w:lineRule="auto"/>
              <w:ind w:left="80" w:firstLine="0"/>
              <w:jc w:val="center"/>
              <w:rPr>
                <w:sz w:val="16"/>
                <w:szCs w:val="16"/>
              </w:rPr>
            </w:pPr>
            <w:r w:rsidDel="00000000" w:rsidR="00000000" w:rsidRPr="00000000">
              <w:rPr>
                <w:sz w:val="16"/>
                <w:szCs w:val="16"/>
                <w:rtl w:val="0"/>
              </w:rPr>
              <w:t xml:space="preserve">30,000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40" w:before="40" w:lineRule="auto"/>
              <w:ind w:left="80" w:firstLine="0"/>
              <w:jc w:val="center"/>
              <w:rPr>
                <w:sz w:val="16"/>
                <w:szCs w:val="16"/>
              </w:rPr>
            </w:pPr>
            <w:r w:rsidDel="00000000" w:rsidR="00000000" w:rsidRPr="00000000">
              <w:rPr>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center"/>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both"/>
              <w:rPr>
                <w:sz w:val="16"/>
                <w:szCs w:val="16"/>
              </w:rPr>
            </w:pPr>
            <w:r w:rsidDel="00000000" w:rsidR="00000000" w:rsidRPr="00000000">
              <w:rPr>
                <w:sz w:val="16"/>
                <w:szCs w:val="16"/>
                <w:rtl w:val="0"/>
              </w:rPr>
              <w:t xml:space="preserve">Sin trocear, congelados.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80" w:firstLine="0"/>
              <w:jc w:val="both"/>
              <w:rPr>
                <w:color w:val="2f2f2f"/>
                <w:sz w:val="18"/>
                <w:szCs w:val="18"/>
              </w:rPr>
            </w:pPr>
            <w:r w:rsidDel="00000000" w:rsidR="00000000" w:rsidRPr="00000000">
              <w:rPr>
                <w:rtl w:val="0"/>
              </w:rPr>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sz w:val="16"/>
                <w:szCs w:val="16"/>
              </w:rPr>
            </w:pPr>
            <w:r w:rsidDel="00000000" w:rsidR="00000000" w:rsidRPr="00000000">
              <w:rPr>
                <w:sz w:val="16"/>
                <w:szCs w:val="16"/>
                <w:rtl w:val="0"/>
              </w:rPr>
              <w:t xml:space="preserve">0207.13.04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center"/>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80" w:firstLine="0"/>
              <w:jc w:val="both"/>
              <w:rPr>
                <w:sz w:val="16"/>
                <w:szCs w:val="16"/>
              </w:rPr>
            </w:pPr>
            <w:r w:rsidDel="00000000" w:rsidR="00000000" w:rsidRPr="00000000">
              <w:rPr>
                <w:sz w:val="16"/>
                <w:szCs w:val="16"/>
                <w:rtl w:val="0"/>
              </w:rPr>
              <w:t xml:space="preserve">Piernas, muslos o piernas unidas al muslo.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center"/>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80" w:firstLine="0"/>
              <w:jc w:val="both"/>
              <w:rPr>
                <w:sz w:val="16"/>
                <w:szCs w:val="16"/>
              </w:rPr>
            </w:pPr>
            <w:r w:rsidDel="00000000" w:rsidR="00000000" w:rsidRPr="00000000">
              <w:rPr>
                <w:sz w:val="16"/>
                <w:szCs w:val="16"/>
                <w:rtl w:val="0"/>
              </w:rPr>
              <w:t xml:space="preserve">Alas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both"/>
              <w:rPr>
                <w:sz w:val="16"/>
                <w:szCs w:val="16"/>
              </w:rPr>
            </w:pPr>
            <w:r w:rsidDel="00000000" w:rsidR="00000000" w:rsidRPr="00000000">
              <w:rPr>
                <w:sz w:val="16"/>
                <w:szCs w:val="16"/>
                <w:rtl w:val="0"/>
              </w:rPr>
              <w:t xml:space="preserve">Pechuga, sus trozos y recortes, con hueso.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sz w:val="16"/>
                <w:szCs w:val="16"/>
              </w:rPr>
            </w:pPr>
            <w:r w:rsidDel="00000000" w:rsidR="00000000" w:rsidRPr="00000000">
              <w:rPr>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both"/>
              <w:rPr>
                <w:sz w:val="16"/>
                <w:szCs w:val="16"/>
              </w:rPr>
            </w:pPr>
            <w:r w:rsidDel="00000000" w:rsidR="00000000" w:rsidRPr="00000000">
              <w:rPr>
                <w:sz w:val="16"/>
                <w:szCs w:val="16"/>
                <w:rtl w:val="0"/>
              </w:rPr>
              <w:t xml:space="preserve">Filetes de pechuga y pechuga, sus trozos y recortes, sin hueso (deshuesada).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center"/>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sz w:val="16"/>
                <w:szCs w:val="16"/>
              </w:rPr>
            </w:pPr>
            <w:r w:rsidDel="00000000" w:rsidR="00000000" w:rsidRPr="00000000">
              <w:rPr>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both"/>
              <w:rPr>
                <w:sz w:val="16"/>
                <w:szCs w:val="16"/>
              </w:rPr>
            </w:pPr>
            <w:r w:rsidDel="00000000" w:rsidR="00000000" w:rsidRPr="00000000">
              <w:rPr>
                <w:sz w:val="16"/>
                <w:szCs w:val="16"/>
                <w:rtl w:val="0"/>
              </w:rPr>
              <w:t xml:space="preserve">Piernas, muslos o piernas unidas al muslo.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sz w:val="16"/>
                <w:szCs w:val="16"/>
              </w:rPr>
            </w:pPr>
            <w:r w:rsidDel="00000000" w:rsidR="00000000" w:rsidRPr="00000000">
              <w:rPr>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both"/>
              <w:rPr>
                <w:sz w:val="16"/>
                <w:szCs w:val="16"/>
              </w:rPr>
            </w:pPr>
            <w:r w:rsidDel="00000000" w:rsidR="00000000" w:rsidRPr="00000000">
              <w:rPr>
                <w:sz w:val="16"/>
                <w:szCs w:val="16"/>
                <w:rtl w:val="0"/>
              </w:rPr>
              <w:t xml:space="preserve">Alas y sus partes.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sz w:val="16"/>
                <w:szCs w:val="16"/>
              </w:rPr>
            </w:pPr>
            <w:r w:rsidDel="00000000" w:rsidR="00000000" w:rsidRPr="00000000">
              <w:rPr>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both"/>
              <w:rPr>
                <w:sz w:val="16"/>
                <w:szCs w:val="16"/>
              </w:rPr>
            </w:pPr>
            <w:r w:rsidDel="00000000" w:rsidR="00000000" w:rsidRPr="00000000">
              <w:rPr>
                <w:sz w:val="16"/>
                <w:szCs w:val="16"/>
                <w:rtl w:val="0"/>
              </w:rPr>
              <w:t xml:space="preserve">Pechuga, sus trozos y recortes, con hueso.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ind w:left="80" w:firstLine="0"/>
              <w:jc w:val="both"/>
              <w:rPr>
                <w:color w:val="2f2f2f"/>
                <w:sz w:val="18"/>
                <w:szCs w:val="18"/>
              </w:rPr>
            </w:pPr>
            <w:r w:rsidDel="00000000" w:rsidR="00000000" w:rsidRPr="00000000">
              <w:rPr>
                <w:rtl w:val="0"/>
              </w:rPr>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sz w:val="16"/>
                <w:szCs w:val="16"/>
              </w:rPr>
            </w:pPr>
            <w:r w:rsidDel="00000000" w:rsidR="00000000" w:rsidRPr="00000000">
              <w:rPr>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both"/>
              <w:rPr>
                <w:sz w:val="16"/>
                <w:szCs w:val="16"/>
              </w:rPr>
            </w:pPr>
            <w:r w:rsidDel="00000000" w:rsidR="00000000" w:rsidRPr="00000000">
              <w:rPr>
                <w:sz w:val="16"/>
                <w:szCs w:val="16"/>
                <w:rtl w:val="0"/>
              </w:rPr>
              <w:t xml:space="preserve">Filetes de pechuga y pechuga, sus trozos y recortes, sin hueso (deshuesada).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center"/>
              <w:rPr>
                <w:sz w:val="16"/>
                <w:szCs w:val="16"/>
              </w:rPr>
            </w:pPr>
            <w:r w:rsidDel="00000000" w:rsidR="00000000" w:rsidRPr="00000000">
              <w:rPr>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both"/>
              <w:rPr>
                <w:sz w:val="16"/>
                <w:szCs w:val="16"/>
              </w:rPr>
            </w:pPr>
            <w:r w:rsidDel="00000000" w:rsidR="00000000" w:rsidRPr="00000000">
              <w:rPr>
                <w:sz w:val="16"/>
                <w:szCs w:val="16"/>
                <w:rtl w:val="0"/>
              </w:rPr>
              <w:t xml:space="preserve">Los demás. (Excepto carcazas).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cupo a que se refiere el punto Primero del presente Acuerdo se asignará bajo el procedimiento de asignación directa en su modalidad de "Primero en tiempo, Primero en derecho".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Podrán solicitar la asignación del cupo previsto en el punto Primero del presente Acuerdo, las personas físicas y morales establecidas en los Estados Unidos Mexicanos.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procedimiento de asignación directa en la modalidad de "Primero en tiempo, Primero en derecho" se efectuará conforme a los siguientes criterios:</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a expedir será el que resulte menor entre:</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solicitada;</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indicado en la factura comercial;</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3,500 toneladas, o</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saldo del cupo.</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asignaciones subsecuentes de cupo, se deberá acreditar el ejercicio de por lo menos el 60% de la asignación anterior, adjuntando copia de los pedimentos de importación correspondientes.</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acumulada que podrá asignarse a un beneficiario será de hasta el 25% del cupo.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interesados en la obtención del cupo a que se refiere el presente Acuerdo deberán presentar el trámite de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 adjuntando digitalizada la factura comercial del producto a importar y la firma electrónica (e.firma) del interesado.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de Economía determine que se han cumplido los requisitos a que se refiere el párrafo anterior, emitirá la "Constancia de Registro de Asignación de cupo" dentro de los tres días hábiles siguientes a la presentación de la solicitud del trámite, la cual tendrá una vigencia del periodo comprendido a partir de la fecha de su expedición y hasta el 31 de diciembre de 2021.</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beneficiarios del cupo deberán presentar en un plazo máximo de veinte días hábiles, contados a partir de la fecha de su autorización, copia del conocimiento de embarque, guía aérea o carta de porte, correspondiente al monto autorizado, de lo contrario su certificado será cancelado. La información deberá ser enviada a la siguiente dirección de correo electrónico dgce.cupos@economia.gob.mx.</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asignaciones subsecuentes de cupo el interesado deberá presentar el trámite de "Ampliación de monto"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que el solicitante de asignación subsecuente de cupo cuente con el "Acuse de Recepción de Trámite" generado por la Ventanilla Digital Mexicana de Comercio Exterior, deberá enviarlo el mismo día a la dirección de correo electrónico dgce.cupos@economia.gob.mx, con la factura comercial a que se refiere el inciso b) de la fracción I del punto Cuarto del presente Acuerdo.</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efecto de poder autorizar asignaciones subsecuentes de cupo cuando el solicitante haya sido beneficiario de una asignación deberá demostrar por lo menos el 60% de la asignación inmediata anterior y enviar los pedimentos de importación, a que se refiere la fracción II del punto Cuarto del presente Acuerdo, a la dirección de correo electrónico dgce.cupos@economia.gob.mx, de forma tal que, durante el periodo de vigencia de los cupos, los beneficiarios no cuenten con más de una asignación sin comprobar.</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el objeto de garantizar la equidad en la asignación del cupo, el horario para la presentación de solicitudes a través de la Ventanilla Digital Mexicana de Comercio Exterior </w:t>
      </w:r>
      <w:r w:rsidDel="00000000" w:rsidR="00000000" w:rsidRPr="00000000">
        <w:rPr>
          <w:sz w:val="18"/>
          <w:szCs w:val="18"/>
          <w:rtl w:val="0"/>
        </w:rPr>
        <w:t xml:space="preserve">en la dirección electrónica </w:t>
      </w:r>
      <w:r w:rsidDel="00000000" w:rsidR="00000000" w:rsidRPr="00000000">
        <w:rPr>
          <w:color w:val="2f2f2f"/>
          <w:sz w:val="18"/>
          <w:szCs w:val="18"/>
          <w:rtl w:val="0"/>
        </w:rPr>
        <w:t xml:space="preserve">www.ventanillaunica.gob.mx, será a partir de las 11:00 horas (tiempo de la Zona del Centro de México) del día hábil siguiente al de la entrada en vigor del presente Acuerdo; a partir de ese momento la Ventanilla Digital Mexicana de Comercio Exterior estará disponible las 24 horas del día y en días hábiles.</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solicitudes que se presenten ante las Oficinas de Representación en las entidades federativas de la Secretaría de Economía que corresponda al domicilio del interesado, podrán ser presentadas a partir de las 11:00 horas (tiempo de la Zona del Centro de México) del día hábil siguiente al de la entrada en vigor del presente Acuerdo; a partir de ese momento los días de recepción serán únicamente los martes, jueves y viernes (en días hábiles) de las 9:00 a las 12:00 horas, hora local de la entidad federativa que corresponda.</w:t>
      </w:r>
    </w:p>
    <w:p w:rsidR="00000000" w:rsidDel="00000000" w:rsidP="00000000" w:rsidRDefault="00000000" w:rsidRPr="00000000" w14:paraId="000000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Una vez autorizada la "Constancia de Registro de Asignación de cupo", el interesado deberá presentar el trámite de "Expedición de Certificados de Cupo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SE-FO-03-013-5 "Solicitud de certificados de cupo (Obtenido por asignación directa)". La Secretaría de Economía expedirá el certificado de cupo a más tardar en los dos días hábiles siguientes a la fecha de ingreso de la solicitud.</w:t>
      </w:r>
    </w:p>
    <w:p w:rsidR="00000000" w:rsidDel="00000000" w:rsidP="00000000" w:rsidRDefault="00000000" w:rsidRPr="00000000" w14:paraId="0000005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Los certificados de cupo a que se refiere este Acuerdo son nominativos, intransferibles e improrrogables y su vigencia será de sesenta días naturales contados a partir de la fecha de expedición, o al 31 de diciembre de 2021, lo que ocurra primero.</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En caso de que al término de la vigencia de los certificados de cupo existan saldos no ejercidos, conforme a las cifras de la Administración General de Aduanas del Servicio de Administración Tributaria, éstos se integrarán al saldo del cupo para reasignarse durante el periodo de vigencia del cupo en los términos del presente Acuerdo.</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Los formatos a que se refiere el presente Acuerdo estarán a disposición de los interesados en las Oficinas de Representación en las entidades federativas de la Secretaría de Economía y en la página electrónica https://catalogonacional.gob.mx/.</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Los certificados de cupo expedidos al amparo del presente Acuerdo no eximen del cumplimiento de otros requisitos y demás regulaciones y restricciones no arancelarias aplicables a las mercancías en la aduana de despacho.</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La información referente a la evolución de las solicitudes y autorizaciones a que se refiere este Acuerdo, será publicada en el apartado de Transparencia disponible en el portal electrónico sobre facilitación comercial, del Servicio Nacional de Información de Comercio Exterior (SNICE), en la página electrónica: https://www.snice.gob.mx/cs/avi/snice/transparenciacomercioexterior.html</w:t>
      </w:r>
    </w:p>
    <w:p w:rsidR="00000000" w:rsidDel="00000000" w:rsidP="00000000" w:rsidRDefault="00000000" w:rsidRPr="00000000" w14:paraId="00000064">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6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18 de junio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67">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