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B81" w:rsidRDefault="00F04B81" w:rsidP="00F04B81">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sidRPr="00F04B81">
        <w:rPr>
          <w:rFonts w:ascii="Verdana" w:eastAsia="Times New Roman" w:hAnsi="Verdana" w:cs="Times New Roman"/>
          <w:b/>
          <w:color w:val="4F81BD" w:themeColor="accent1"/>
          <w:szCs w:val="20"/>
          <w:lang w:eastAsia="es-MX"/>
        </w:rPr>
        <w:t>Acuerdo por el que se reforman los lineamientos para trámit</w:t>
      </w:r>
      <w:r>
        <w:rPr>
          <w:rFonts w:ascii="Verdana" w:eastAsia="Times New Roman" w:hAnsi="Verdana" w:cs="Times New Roman"/>
          <w:b/>
          <w:color w:val="4F81BD" w:themeColor="accent1"/>
          <w:szCs w:val="20"/>
          <w:lang w:eastAsia="es-MX"/>
        </w:rPr>
        <w:t>es y procedimientos migratorios</w:t>
      </w:r>
    </w:p>
    <w:p w:rsidR="00F04B81" w:rsidRPr="00F04B81" w:rsidRDefault="00F04B81" w:rsidP="00F04B81">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Pr>
          <w:rFonts w:ascii="Verdana" w:eastAsia="Times New Roman" w:hAnsi="Verdana" w:cs="Times New Roman"/>
          <w:b/>
          <w:color w:val="4F81BD" w:themeColor="accent1"/>
          <w:szCs w:val="20"/>
          <w:lang w:eastAsia="es-MX"/>
        </w:rPr>
        <w:t>(DOF 23 de abril de 2019)</w:t>
      </w:r>
    </w:p>
    <w:p w:rsidR="00F04B81" w:rsidRPr="00F04B81" w:rsidRDefault="00F04B81" w:rsidP="00F04B81">
      <w:pPr>
        <w:spacing w:before="100" w:beforeAutospacing="1" w:after="100" w:afterAutospacing="1" w:line="240" w:lineRule="auto"/>
        <w:rPr>
          <w:rFonts w:ascii="Verdana" w:eastAsia="Times New Roman" w:hAnsi="Verdana" w:cs="Times New Roman"/>
          <w:sz w:val="20"/>
          <w:szCs w:val="20"/>
          <w:lang w:eastAsia="es-MX"/>
        </w:rPr>
      </w:pPr>
      <w:r w:rsidRPr="00F04B81">
        <w:rPr>
          <w:rFonts w:ascii="Verdana" w:eastAsia="Times New Roman" w:hAnsi="Verdana" w:cs="Times New Roman"/>
          <w:sz w:val="20"/>
          <w:szCs w:val="20"/>
          <w:lang w:eastAsia="es-MX"/>
        </w:rPr>
        <w:t>Al margen un sello con el Escudo Nacional, que dice: Estados Unidos Mexicanos.- Secretaría de Gobernación.</w:t>
      </w:r>
    </w:p>
    <w:p w:rsidR="00F04B81" w:rsidRPr="00F04B81" w:rsidRDefault="00F04B81" w:rsidP="00F04B81">
      <w:pPr>
        <w:spacing w:before="100" w:beforeAutospacing="1" w:after="100" w:afterAutospacing="1" w:line="253" w:lineRule="exact"/>
        <w:rPr>
          <w:rFonts w:ascii="Verdana" w:eastAsia="Times New Roman" w:hAnsi="Verdana" w:cs="Times New Roman"/>
          <w:sz w:val="20"/>
          <w:szCs w:val="20"/>
          <w:lang w:eastAsia="es-MX"/>
        </w:rPr>
      </w:pPr>
      <w:r w:rsidRPr="00F04B81">
        <w:rPr>
          <w:rFonts w:ascii="Verdana" w:eastAsia="Times New Roman" w:hAnsi="Verdana" w:cs="Times New Roman"/>
          <w:bCs/>
          <w:sz w:val="20"/>
          <w:szCs w:val="20"/>
          <w:lang w:val="es-ES" w:eastAsia="es-MX"/>
        </w:rPr>
        <w:t xml:space="preserve">OLGA </w:t>
      </w:r>
      <w:r w:rsidRPr="00F04B81">
        <w:rPr>
          <w:rFonts w:ascii="Verdana" w:eastAsia="Times New Roman" w:hAnsi="Verdana" w:cs="Times New Roman"/>
          <w:sz w:val="20"/>
          <w:szCs w:val="20"/>
          <w:lang w:val="es-ES" w:eastAsia="es-MX"/>
        </w:rPr>
        <w:t xml:space="preserve">MARÍA DEL CARMEN </w:t>
      </w:r>
      <w:r w:rsidRPr="00F04B81">
        <w:rPr>
          <w:rFonts w:ascii="Verdana" w:eastAsia="Times New Roman" w:hAnsi="Verdana" w:cs="Times New Roman"/>
          <w:bCs/>
          <w:sz w:val="20"/>
          <w:szCs w:val="20"/>
          <w:lang w:val="es-ES" w:eastAsia="es-MX"/>
        </w:rPr>
        <w:t>SÁNCHEZ CORDERO</w:t>
      </w:r>
      <w:r w:rsidRPr="00F04B81">
        <w:rPr>
          <w:rFonts w:ascii="Verdana" w:eastAsia="Times New Roman" w:hAnsi="Verdana" w:cs="Times New Roman"/>
          <w:sz w:val="20"/>
          <w:szCs w:val="20"/>
          <w:lang w:val="es-ES" w:eastAsia="es-MX"/>
        </w:rPr>
        <w:t xml:space="preserve"> DÁVILA, Secretaria de Gobernación, con fundamento en lo previsto por los artículos 1º y 11 de la Consti</w:t>
      </w:r>
      <w:bookmarkStart w:id="0" w:name="_GoBack"/>
      <w:bookmarkEnd w:id="0"/>
      <w:r w:rsidRPr="00F04B81">
        <w:rPr>
          <w:rFonts w:ascii="Verdana" w:eastAsia="Times New Roman" w:hAnsi="Verdana" w:cs="Times New Roman"/>
          <w:sz w:val="20"/>
          <w:szCs w:val="20"/>
          <w:lang w:val="es-ES" w:eastAsia="es-MX"/>
        </w:rPr>
        <w:t>tución Política de los Estados Unidos Mexicanos, 27, fracción V de la Ley Orgánica de la Administración Pública Federal; 1, 2, párrafos séptimo y octavo, 18, fracciones I y III, 20, fracciones I, II y III, 37, 52, fracción III y 81 de la Ley de Migración; 55, 57, 58, 93, 132 y 133 del Reglamento de la Ley de Migración, y 5, fracción XXIX del Reglamento Interior de la Secretaría de Gobernación, y</w:t>
      </w:r>
    </w:p>
    <w:p w:rsidR="00F04B81" w:rsidRPr="00F04B81" w:rsidRDefault="00F04B81" w:rsidP="00F04B81">
      <w:pPr>
        <w:spacing w:before="100" w:beforeAutospacing="1" w:after="100" w:afterAutospacing="1" w:line="253" w:lineRule="exact"/>
        <w:rPr>
          <w:rFonts w:ascii="Verdana" w:eastAsia="Times New Roman" w:hAnsi="Verdana" w:cs="Times New Roman"/>
          <w:sz w:val="20"/>
          <w:szCs w:val="20"/>
          <w:lang w:eastAsia="es-MX"/>
        </w:rPr>
      </w:pPr>
      <w:r w:rsidRPr="00F04B81">
        <w:rPr>
          <w:rFonts w:ascii="Verdana" w:eastAsia="Times New Roman" w:hAnsi="Verdana" w:cs="Times New Roman"/>
          <w:sz w:val="20"/>
          <w:szCs w:val="20"/>
          <w:lang w:val="es-ES_tradnl" w:eastAsia="es-MX"/>
        </w:rPr>
        <w:t>CONSIDERANDO</w:t>
      </w:r>
    </w:p>
    <w:p w:rsidR="00F04B81" w:rsidRPr="00F04B81" w:rsidRDefault="00F04B81" w:rsidP="00F04B81">
      <w:pPr>
        <w:spacing w:before="100" w:beforeAutospacing="1" w:after="100" w:afterAutospacing="1" w:line="253" w:lineRule="exact"/>
        <w:rPr>
          <w:rFonts w:ascii="Verdana" w:eastAsia="Times New Roman" w:hAnsi="Verdana" w:cs="Times New Roman"/>
          <w:sz w:val="20"/>
          <w:szCs w:val="20"/>
          <w:lang w:eastAsia="es-MX"/>
        </w:rPr>
      </w:pPr>
      <w:r w:rsidRPr="00F04B81">
        <w:rPr>
          <w:rFonts w:ascii="Verdana" w:eastAsia="Times New Roman" w:hAnsi="Verdana" w:cs="Times New Roman"/>
          <w:sz w:val="20"/>
          <w:szCs w:val="20"/>
          <w:lang w:val="es-ES" w:eastAsia="es-MX"/>
        </w:rPr>
        <w:t>Que de conformidad con el artículo 52, fracción III de la Ley de Migración, la condición de estancia de Visitante Regional puede otorgarse al extranjero nacional o residente de los países vecinos para ingresar a las regiones fronterizas con derecho a entrar y salir de las mismas cuantas veces lo deseen, sin que su permanencia exceda de siete días y sin permiso para recibir remuneración en el país;</w:t>
      </w:r>
    </w:p>
    <w:p w:rsidR="00F04B81" w:rsidRPr="00F04B81" w:rsidRDefault="00F04B81" w:rsidP="00F04B81">
      <w:pPr>
        <w:spacing w:before="100" w:beforeAutospacing="1" w:after="100" w:afterAutospacing="1" w:line="253" w:lineRule="exact"/>
        <w:rPr>
          <w:rFonts w:ascii="Verdana" w:eastAsia="Times New Roman" w:hAnsi="Verdana" w:cs="Times New Roman"/>
          <w:sz w:val="20"/>
          <w:szCs w:val="20"/>
          <w:lang w:eastAsia="es-MX"/>
        </w:rPr>
      </w:pPr>
      <w:r w:rsidRPr="00F04B81">
        <w:rPr>
          <w:rFonts w:ascii="Verdana" w:eastAsia="Times New Roman" w:hAnsi="Verdana" w:cs="Times New Roman"/>
          <w:sz w:val="20"/>
          <w:szCs w:val="20"/>
          <w:lang w:val="es-ES" w:eastAsia="es-MX"/>
        </w:rPr>
        <w:t>Que el artículo 72 de los Lineamientos para Trámites y Procedimientos Migratorios, determina que solamente los nacionales y residentes permanentes de Belice y de Guatemala podrán obtener la condición de estancia de Visitante Regional;</w:t>
      </w:r>
    </w:p>
    <w:p w:rsidR="00F04B81" w:rsidRPr="00F04B81" w:rsidRDefault="00F04B81" w:rsidP="00F04B81">
      <w:pPr>
        <w:spacing w:before="100" w:beforeAutospacing="1" w:after="100" w:afterAutospacing="1" w:line="253" w:lineRule="exact"/>
        <w:rPr>
          <w:rFonts w:ascii="Verdana" w:eastAsia="Times New Roman" w:hAnsi="Verdana" w:cs="Times New Roman"/>
          <w:sz w:val="20"/>
          <w:szCs w:val="20"/>
          <w:lang w:eastAsia="es-MX"/>
        </w:rPr>
      </w:pPr>
      <w:r w:rsidRPr="00F04B81">
        <w:rPr>
          <w:rFonts w:ascii="Verdana" w:eastAsia="Times New Roman" w:hAnsi="Verdana" w:cs="Times New Roman"/>
          <w:sz w:val="20"/>
          <w:szCs w:val="20"/>
          <w:lang w:val="es-ES" w:eastAsia="es-MX"/>
        </w:rPr>
        <w:t xml:space="preserve">Que si bien es cierto, Guatemala y Belice son los países que colindan con el territorio nacional en la frontera sur, también lo es que la interacción entre México y los países centroamericanos no se limita a éstos, sino que se amplía para incorporar, entre otros, a El Salvador y a Honduras, como se refleja en el Tratado de Libre Comercio entre los Estados Unidos Mexicanos, las Repúblicas de Costa Rica, El Salvador, Guatemala, Honduras y Nicaragua, cuyo decreto </w:t>
      </w:r>
      <w:proofErr w:type="spellStart"/>
      <w:r w:rsidRPr="00F04B81">
        <w:rPr>
          <w:rFonts w:ascii="Verdana" w:eastAsia="Times New Roman" w:hAnsi="Verdana" w:cs="Times New Roman"/>
          <w:sz w:val="20"/>
          <w:szCs w:val="20"/>
          <w:lang w:val="es-ES" w:eastAsia="es-MX"/>
        </w:rPr>
        <w:t>promulgatorio</w:t>
      </w:r>
      <w:proofErr w:type="spellEnd"/>
      <w:r w:rsidRPr="00F04B81">
        <w:rPr>
          <w:rFonts w:ascii="Verdana" w:eastAsia="Times New Roman" w:hAnsi="Verdana" w:cs="Times New Roman"/>
          <w:sz w:val="20"/>
          <w:szCs w:val="20"/>
          <w:lang w:val="es-ES" w:eastAsia="es-MX"/>
        </w:rPr>
        <w:t xml:space="preserve"> se publicó en el Diario Oficial de la Federación el 31 de agosto de 2012, cuyo objeto es, entre otros, facilitar el movimiento de capitales y de personas de negocios entre los territorios de las Partes;</w:t>
      </w:r>
    </w:p>
    <w:p w:rsidR="00F04B81" w:rsidRPr="00F04B81" w:rsidRDefault="00F04B81" w:rsidP="00F04B81">
      <w:pPr>
        <w:spacing w:before="100" w:beforeAutospacing="1" w:after="100" w:afterAutospacing="1" w:line="253" w:lineRule="exact"/>
        <w:rPr>
          <w:rFonts w:ascii="Verdana" w:eastAsia="Times New Roman" w:hAnsi="Verdana" w:cs="Times New Roman"/>
          <w:sz w:val="20"/>
          <w:szCs w:val="20"/>
          <w:lang w:eastAsia="es-MX"/>
        </w:rPr>
      </w:pPr>
      <w:r w:rsidRPr="00F04B81">
        <w:rPr>
          <w:rFonts w:ascii="Verdana" w:eastAsia="Times New Roman" w:hAnsi="Verdana" w:cs="Times New Roman"/>
          <w:sz w:val="20"/>
          <w:szCs w:val="20"/>
          <w:lang w:val="es-ES" w:eastAsia="es-MX"/>
        </w:rPr>
        <w:t xml:space="preserve">Que con fecha 1 de diciembre de 2018 el Vicepresidente de la República de El Salvador y los Presidentes de la República de Guatemala, de la República de Honduras y de los Estados Unidos Mexicanos, suscribieron el documento denominado </w:t>
      </w:r>
      <w:r w:rsidRPr="00F04B81">
        <w:rPr>
          <w:rFonts w:ascii="Verdana" w:eastAsia="Times New Roman" w:hAnsi="Verdana" w:cs="Times New Roman"/>
          <w:i/>
          <w:sz w:val="20"/>
          <w:szCs w:val="20"/>
          <w:lang w:val="es-ES" w:eastAsia="es-MX"/>
        </w:rPr>
        <w:t>Declaración Política El Salvador-Guatemala-Honduras-México</w:t>
      </w:r>
      <w:r w:rsidRPr="00F04B81">
        <w:rPr>
          <w:rFonts w:ascii="Verdana" w:eastAsia="Times New Roman" w:hAnsi="Verdana" w:cs="Times New Roman"/>
          <w:sz w:val="20"/>
          <w:szCs w:val="20"/>
          <w:lang w:val="es-ES" w:eastAsia="es-MX"/>
        </w:rPr>
        <w:t xml:space="preserve">, mediante la cual los representantes de los Estados firmantes manifestaron, entre otras cosas: </w:t>
      </w:r>
      <w:r w:rsidRPr="00F04B81">
        <w:rPr>
          <w:rFonts w:ascii="Verdana" w:eastAsia="Times New Roman" w:hAnsi="Verdana" w:cs="Times New Roman"/>
          <w:i/>
          <w:sz w:val="20"/>
          <w:szCs w:val="20"/>
          <w:lang w:val="es-ES" w:eastAsia="es-MX"/>
        </w:rPr>
        <w:t>“…continuaremos aunando esfuerzos para promover vías de migración regular con pleno respeto y cumplimiento de la normativa y legislación interna de los países y las posibilidades de movilidad a través de políticas que promuevan una migración ordenada y segura…”</w:t>
      </w:r>
      <w:r w:rsidRPr="00F04B81">
        <w:rPr>
          <w:rFonts w:ascii="Verdana" w:eastAsia="Times New Roman" w:hAnsi="Verdana" w:cs="Times New Roman"/>
          <w:sz w:val="20"/>
          <w:szCs w:val="20"/>
          <w:lang w:val="es-ES" w:eastAsia="es-MX"/>
        </w:rPr>
        <w:t>; y</w:t>
      </w:r>
    </w:p>
    <w:p w:rsidR="00F04B81" w:rsidRPr="00F04B81" w:rsidRDefault="00F04B81" w:rsidP="00F04B81">
      <w:pPr>
        <w:spacing w:before="100" w:beforeAutospacing="1" w:after="100" w:afterAutospacing="1" w:line="253" w:lineRule="exact"/>
        <w:rPr>
          <w:rFonts w:ascii="Verdana" w:eastAsia="Times New Roman" w:hAnsi="Verdana" w:cs="Times New Roman"/>
          <w:sz w:val="20"/>
          <w:szCs w:val="20"/>
          <w:lang w:eastAsia="es-MX"/>
        </w:rPr>
      </w:pPr>
      <w:r w:rsidRPr="00F04B81">
        <w:rPr>
          <w:rFonts w:ascii="Verdana" w:eastAsia="Times New Roman" w:hAnsi="Verdana" w:cs="Times New Roman"/>
          <w:sz w:val="20"/>
          <w:szCs w:val="20"/>
          <w:lang w:val="es-ES" w:eastAsia="es-MX"/>
        </w:rPr>
        <w:t xml:space="preserve">Que en base a lo expuesto, la Secretaría de Gobernación estima indispensable otorgar seguridad y certeza jurídica a los nacionales y residentes permanentes de El Salvador y de Honduras, respecto de su estancia en el territorio nacional, a través del </w:t>
      </w:r>
      <w:r w:rsidRPr="00F04B81">
        <w:rPr>
          <w:rFonts w:ascii="Verdana" w:eastAsia="Times New Roman" w:hAnsi="Verdana" w:cs="Times New Roman"/>
          <w:sz w:val="20"/>
          <w:szCs w:val="20"/>
          <w:lang w:val="es-ES" w:eastAsia="es-MX"/>
        </w:rPr>
        <w:lastRenderedPageBreak/>
        <w:t>otorgamiento de la condición de estancia de Visitante Regional, por lo que he tenido a bien emitir el siguiente</w:t>
      </w:r>
    </w:p>
    <w:p w:rsidR="00F04B81" w:rsidRPr="00F04B81" w:rsidRDefault="00F04B81" w:rsidP="00F04B81">
      <w:pPr>
        <w:spacing w:before="100" w:beforeAutospacing="1" w:after="100" w:afterAutospacing="1" w:line="253" w:lineRule="exact"/>
        <w:rPr>
          <w:rFonts w:ascii="Verdana" w:eastAsia="Times New Roman" w:hAnsi="Verdana" w:cs="Times New Roman"/>
          <w:sz w:val="20"/>
          <w:szCs w:val="20"/>
          <w:lang w:eastAsia="es-MX"/>
        </w:rPr>
      </w:pPr>
      <w:r w:rsidRPr="00F04B81">
        <w:rPr>
          <w:rFonts w:ascii="Verdana" w:eastAsia="Times New Roman" w:hAnsi="Verdana" w:cs="Times New Roman"/>
          <w:sz w:val="20"/>
          <w:szCs w:val="20"/>
          <w:lang w:val="es-ES_tradnl" w:eastAsia="es-MX"/>
        </w:rPr>
        <w:t>ACUERDO POR EL QUE SE REFORMAN LOS LINEAMIENTOS PARA TRÁMITES Y PROCEDIMIENTOS MIGRATORIOS</w:t>
      </w:r>
    </w:p>
    <w:p w:rsidR="00F04B81" w:rsidRPr="00F04B81" w:rsidRDefault="00F04B81" w:rsidP="00F04B81">
      <w:pPr>
        <w:spacing w:before="100" w:beforeAutospacing="1" w:after="100" w:afterAutospacing="1" w:line="253" w:lineRule="exact"/>
        <w:rPr>
          <w:rFonts w:ascii="Verdana" w:eastAsia="Times New Roman" w:hAnsi="Verdana" w:cs="Times New Roman"/>
          <w:sz w:val="20"/>
          <w:szCs w:val="20"/>
          <w:lang w:eastAsia="es-MX"/>
        </w:rPr>
      </w:pPr>
      <w:r w:rsidRPr="00F04B81">
        <w:rPr>
          <w:rFonts w:ascii="Verdana" w:eastAsia="Times New Roman" w:hAnsi="Verdana" w:cs="Times New Roman"/>
          <w:b/>
          <w:bCs/>
          <w:sz w:val="20"/>
          <w:szCs w:val="20"/>
          <w:lang w:val="es-ES" w:eastAsia="es-MX"/>
        </w:rPr>
        <w:t xml:space="preserve">Artículo Único.- </w:t>
      </w:r>
      <w:r w:rsidRPr="00F04B81">
        <w:rPr>
          <w:rFonts w:ascii="Verdana" w:eastAsia="Times New Roman" w:hAnsi="Verdana" w:cs="Times New Roman"/>
          <w:sz w:val="20"/>
          <w:szCs w:val="20"/>
          <w:lang w:val="es-ES" w:eastAsia="es-MX"/>
        </w:rPr>
        <w:t>Se REFORMAN los artículos 72, 73 y 74 de los Lineamientos para Trámites y Procedimientos Migratorios, para quedar como sigue:</w:t>
      </w:r>
    </w:p>
    <w:p w:rsidR="00F04B81" w:rsidRPr="00F04B81" w:rsidRDefault="00F04B81" w:rsidP="00F04B81">
      <w:pPr>
        <w:spacing w:before="100" w:beforeAutospacing="1" w:after="100" w:afterAutospacing="1" w:line="253" w:lineRule="exact"/>
        <w:rPr>
          <w:rFonts w:ascii="Verdana" w:eastAsia="Times New Roman" w:hAnsi="Verdana" w:cs="Times New Roman"/>
          <w:sz w:val="20"/>
          <w:szCs w:val="20"/>
          <w:lang w:eastAsia="es-MX"/>
        </w:rPr>
      </w:pPr>
      <w:r w:rsidRPr="00F04B81">
        <w:rPr>
          <w:rFonts w:ascii="Verdana" w:eastAsia="Times New Roman" w:hAnsi="Verdana" w:cs="Times New Roman"/>
          <w:b/>
          <w:sz w:val="20"/>
          <w:szCs w:val="20"/>
          <w:lang w:val="es-ES_tradnl" w:eastAsia="es-MX"/>
        </w:rPr>
        <w:t>Artículo 72.</w:t>
      </w:r>
      <w:r w:rsidRPr="00F04B81">
        <w:rPr>
          <w:rFonts w:ascii="Verdana" w:eastAsia="Times New Roman" w:hAnsi="Verdana" w:cs="Times New Roman"/>
          <w:sz w:val="20"/>
          <w:szCs w:val="20"/>
          <w:lang w:val="es-ES_tradnl" w:eastAsia="es-MX"/>
        </w:rPr>
        <w:t xml:space="preserve"> Podrán obtener esta condición de estancia los nacionales de Guatemala, de Belice, de El Salvador y de Honduras</w:t>
      </w:r>
      <w:r w:rsidRPr="00F04B81">
        <w:rPr>
          <w:rFonts w:ascii="Verdana" w:eastAsia="Times New Roman" w:hAnsi="Verdana" w:cs="Times New Roman"/>
          <w:sz w:val="20"/>
          <w:szCs w:val="20"/>
          <w:u w:val="single"/>
          <w:lang w:val="es-ES_tradnl" w:eastAsia="es-MX"/>
        </w:rPr>
        <w:t>,</w:t>
      </w:r>
      <w:r w:rsidRPr="00F04B81">
        <w:rPr>
          <w:rFonts w:ascii="Verdana" w:eastAsia="Times New Roman" w:hAnsi="Verdana" w:cs="Times New Roman"/>
          <w:sz w:val="20"/>
          <w:szCs w:val="20"/>
          <w:lang w:val="es-ES_tradnl" w:eastAsia="es-MX"/>
        </w:rPr>
        <w:t xml:space="preserve"> así como las personas extranjeras que residan de manera permanente en dichos países.</w:t>
      </w:r>
    </w:p>
    <w:p w:rsidR="00F04B81" w:rsidRPr="00F04B81" w:rsidRDefault="00F04B81" w:rsidP="00F04B81">
      <w:pPr>
        <w:spacing w:before="100" w:beforeAutospacing="1" w:after="100" w:afterAutospacing="1" w:line="253" w:lineRule="exact"/>
        <w:rPr>
          <w:rFonts w:ascii="Verdana" w:eastAsia="Times New Roman" w:hAnsi="Verdana" w:cs="Times New Roman"/>
          <w:sz w:val="20"/>
          <w:szCs w:val="20"/>
          <w:lang w:eastAsia="es-MX"/>
        </w:rPr>
      </w:pPr>
      <w:r w:rsidRPr="00F04B81">
        <w:rPr>
          <w:rFonts w:ascii="Verdana" w:eastAsia="Times New Roman" w:hAnsi="Verdana" w:cs="Times New Roman"/>
          <w:b/>
          <w:sz w:val="20"/>
          <w:szCs w:val="20"/>
          <w:lang w:val="es-ES_tradnl" w:eastAsia="es-MX"/>
        </w:rPr>
        <w:t xml:space="preserve">Artículo 73. </w:t>
      </w:r>
      <w:r w:rsidRPr="00F04B81">
        <w:rPr>
          <w:rFonts w:ascii="Verdana" w:eastAsia="Times New Roman" w:hAnsi="Verdana" w:cs="Times New Roman"/>
          <w:sz w:val="20"/>
          <w:szCs w:val="20"/>
          <w:lang w:val="es-ES" w:eastAsia="es-MX"/>
        </w:rPr>
        <w:t>Para efectos de este capítulo la región fronteriza está conformada por todas las ciudades y municipios de las entidades federativas de Campeche, Chiapas, Tabasco</w:t>
      </w:r>
      <w:r w:rsidRPr="00F04B81">
        <w:rPr>
          <w:rFonts w:ascii="Verdana" w:eastAsia="Times New Roman" w:hAnsi="Verdana" w:cs="Times New Roman"/>
          <w:b/>
          <w:sz w:val="20"/>
          <w:szCs w:val="20"/>
          <w:lang w:val="es-ES" w:eastAsia="es-MX"/>
        </w:rPr>
        <w:t>,</w:t>
      </w:r>
      <w:r w:rsidRPr="00F04B81">
        <w:rPr>
          <w:rFonts w:ascii="Verdana" w:eastAsia="Times New Roman" w:hAnsi="Verdana" w:cs="Times New Roman"/>
          <w:sz w:val="20"/>
          <w:szCs w:val="20"/>
          <w:lang w:val="es-ES" w:eastAsia="es-MX"/>
        </w:rPr>
        <w:t xml:space="preserve"> Quintana Roo y Yucatán.</w:t>
      </w:r>
    </w:p>
    <w:p w:rsidR="00F04B81" w:rsidRPr="00F04B81" w:rsidRDefault="00F04B81" w:rsidP="00F04B81">
      <w:pPr>
        <w:spacing w:before="100" w:beforeAutospacing="1" w:after="100" w:afterAutospacing="1" w:line="253" w:lineRule="exact"/>
        <w:rPr>
          <w:rFonts w:ascii="Verdana" w:eastAsia="Times New Roman" w:hAnsi="Verdana" w:cs="Times New Roman"/>
          <w:sz w:val="20"/>
          <w:szCs w:val="20"/>
          <w:lang w:eastAsia="es-MX"/>
        </w:rPr>
      </w:pPr>
      <w:r w:rsidRPr="00F04B81">
        <w:rPr>
          <w:rFonts w:ascii="Verdana" w:eastAsia="Times New Roman" w:hAnsi="Verdana" w:cs="Times New Roman"/>
          <w:b/>
          <w:sz w:val="20"/>
          <w:szCs w:val="20"/>
          <w:lang w:val="es-ES" w:eastAsia="es-MX"/>
        </w:rPr>
        <w:t>Artículo 74.</w:t>
      </w:r>
      <w:r w:rsidRPr="00F04B81">
        <w:rPr>
          <w:rFonts w:ascii="Verdana" w:eastAsia="Times New Roman" w:hAnsi="Verdana" w:cs="Times New Roman"/>
          <w:sz w:val="20"/>
          <w:szCs w:val="20"/>
          <w:lang w:val="es-ES" w:eastAsia="es-MX"/>
        </w:rPr>
        <w:t xml:space="preserve"> Ficha del trámite para la obtención de la tarjeta de visitante regional.</w:t>
      </w:r>
    </w:p>
    <w:tbl>
      <w:tblPr>
        <w:tblW w:w="871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079"/>
        <w:gridCol w:w="5636"/>
      </w:tblGrid>
      <w:tr w:rsidR="00F04B81" w:rsidRPr="00F04B81" w:rsidTr="00F04B81">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noWrap/>
            <w:hideMark/>
          </w:tcPr>
          <w:p w:rsidR="00F04B81" w:rsidRPr="00F04B81" w:rsidRDefault="00F04B81" w:rsidP="00F04B81">
            <w:pPr>
              <w:spacing w:before="26" w:after="20" w:line="20" w:lineRule="atLeast"/>
              <w:rPr>
                <w:rFonts w:ascii="Verdana" w:eastAsia="Times New Roman" w:hAnsi="Verdana" w:cs="Times New Roman"/>
                <w:sz w:val="20"/>
                <w:szCs w:val="20"/>
                <w:lang w:eastAsia="es-MX"/>
              </w:rPr>
            </w:pPr>
            <w:r w:rsidRPr="00F04B81">
              <w:rPr>
                <w:rFonts w:ascii="Verdana" w:eastAsia="Times New Roman" w:hAnsi="Verdana" w:cs="Arial"/>
                <w:b/>
                <w:sz w:val="20"/>
                <w:szCs w:val="20"/>
                <w:lang w:val="es-ES" w:eastAsia="es-MX"/>
              </w:rPr>
              <w:t> </w:t>
            </w:r>
          </w:p>
        </w:tc>
      </w:tr>
      <w:tr w:rsidR="00F04B81" w:rsidRPr="00F04B81" w:rsidTr="00F04B81">
        <w:trPr>
          <w:trHeight w:val="20"/>
        </w:trPr>
        <w:tc>
          <w:tcPr>
            <w:tcW w:w="3078" w:type="dxa"/>
            <w:tcBorders>
              <w:top w:val="single" w:sz="6" w:space="0" w:color="auto"/>
              <w:left w:val="single" w:sz="6" w:space="0" w:color="auto"/>
              <w:bottom w:val="single" w:sz="6" w:space="0" w:color="auto"/>
              <w:right w:val="single" w:sz="6" w:space="0" w:color="auto"/>
            </w:tcBorders>
            <w:hideMark/>
          </w:tcPr>
          <w:p w:rsidR="00F04B81" w:rsidRPr="00F04B81" w:rsidRDefault="00F04B81" w:rsidP="00F04B81">
            <w:pPr>
              <w:spacing w:before="26" w:after="20" w:line="20" w:lineRule="atLeast"/>
              <w:rPr>
                <w:rFonts w:ascii="Verdana" w:eastAsia="Times New Roman" w:hAnsi="Verdana" w:cs="Times New Roman"/>
                <w:sz w:val="20"/>
                <w:szCs w:val="20"/>
                <w:lang w:eastAsia="es-MX"/>
              </w:rPr>
            </w:pPr>
            <w:r w:rsidRPr="00F04B81">
              <w:rPr>
                <w:rFonts w:ascii="Verdana" w:eastAsia="Times New Roman" w:hAnsi="Verdana" w:cs="Arial"/>
                <w:sz w:val="20"/>
                <w:szCs w:val="20"/>
                <w:lang w:val="es-ES" w:eastAsia="es-MX"/>
              </w:rPr>
              <w:t>Caso en el que se presenta:</w:t>
            </w:r>
          </w:p>
        </w:tc>
        <w:tc>
          <w:tcPr>
            <w:tcW w:w="5634" w:type="dxa"/>
            <w:tcBorders>
              <w:top w:val="single" w:sz="6" w:space="0" w:color="auto"/>
              <w:left w:val="single" w:sz="6" w:space="0" w:color="auto"/>
              <w:bottom w:val="single" w:sz="6" w:space="0" w:color="auto"/>
              <w:right w:val="single" w:sz="6" w:space="0" w:color="auto"/>
            </w:tcBorders>
            <w:hideMark/>
          </w:tcPr>
          <w:p w:rsidR="00F04B81" w:rsidRPr="00F04B81" w:rsidRDefault="00F04B81" w:rsidP="00F04B81">
            <w:pPr>
              <w:spacing w:before="26" w:after="20" w:line="20" w:lineRule="atLeast"/>
              <w:rPr>
                <w:rFonts w:ascii="Verdana" w:eastAsia="Times New Roman" w:hAnsi="Verdana" w:cs="Times New Roman"/>
                <w:sz w:val="20"/>
                <w:szCs w:val="20"/>
                <w:lang w:eastAsia="es-MX"/>
              </w:rPr>
            </w:pPr>
            <w:r w:rsidRPr="00F04B81">
              <w:rPr>
                <w:rFonts w:ascii="Verdana" w:eastAsia="Times New Roman" w:hAnsi="Verdana" w:cs="Arial"/>
                <w:sz w:val="20"/>
                <w:szCs w:val="20"/>
                <w:lang w:val="es-ES" w:eastAsia="es-MX"/>
              </w:rPr>
              <w:t xml:space="preserve">Aplicable al nacional de </w:t>
            </w:r>
            <w:r w:rsidRPr="00F04B81">
              <w:rPr>
                <w:rFonts w:ascii="Verdana" w:eastAsia="Times New Roman" w:hAnsi="Verdana" w:cs="Arial"/>
                <w:sz w:val="20"/>
                <w:szCs w:val="20"/>
                <w:lang w:val="es-ES_tradnl" w:eastAsia="es-MX"/>
              </w:rPr>
              <w:t>Guatemala, de Belice, de El Salvador y de Honduras</w:t>
            </w:r>
            <w:r w:rsidRPr="00F04B81">
              <w:rPr>
                <w:rFonts w:ascii="Verdana" w:eastAsia="Times New Roman" w:hAnsi="Verdana" w:cs="Arial"/>
                <w:sz w:val="20"/>
                <w:szCs w:val="20"/>
                <w:lang w:val="es-ES" w:eastAsia="es-MX"/>
              </w:rPr>
              <w:t xml:space="preserve">, o residente permanente en dichos países que solicite la condición de estancia de visitante regional. </w:t>
            </w:r>
          </w:p>
        </w:tc>
      </w:tr>
      <w:tr w:rsidR="00F04B81" w:rsidRPr="00F04B81" w:rsidTr="00F04B81">
        <w:trPr>
          <w:trHeight w:val="20"/>
        </w:trPr>
        <w:tc>
          <w:tcPr>
            <w:tcW w:w="3078" w:type="dxa"/>
            <w:tcBorders>
              <w:top w:val="single" w:sz="6" w:space="0" w:color="auto"/>
              <w:left w:val="single" w:sz="6" w:space="0" w:color="auto"/>
              <w:bottom w:val="single" w:sz="6" w:space="0" w:color="auto"/>
              <w:right w:val="single" w:sz="6" w:space="0" w:color="auto"/>
            </w:tcBorders>
            <w:hideMark/>
          </w:tcPr>
          <w:p w:rsidR="00F04B81" w:rsidRPr="00F04B81" w:rsidRDefault="00F04B81" w:rsidP="00F04B81">
            <w:pPr>
              <w:spacing w:before="26" w:after="20" w:line="20" w:lineRule="atLeast"/>
              <w:rPr>
                <w:rFonts w:ascii="Verdana" w:eastAsia="Times New Roman" w:hAnsi="Verdana" w:cs="Times New Roman"/>
                <w:sz w:val="20"/>
                <w:szCs w:val="20"/>
                <w:lang w:eastAsia="es-MX"/>
              </w:rPr>
            </w:pPr>
            <w:r w:rsidRPr="00F04B81">
              <w:rPr>
                <w:rFonts w:ascii="Verdana" w:eastAsia="Times New Roman" w:hAnsi="Verdana" w:cs="Arial"/>
                <w:sz w:val="20"/>
                <w:szCs w:val="20"/>
                <w:lang w:val="es-ES" w:eastAsia="es-MX"/>
              </w:rPr>
              <w:t>Fundamento jurídico:</w:t>
            </w:r>
          </w:p>
        </w:tc>
        <w:tc>
          <w:tcPr>
            <w:tcW w:w="5634" w:type="dxa"/>
            <w:tcBorders>
              <w:top w:val="single" w:sz="6" w:space="0" w:color="auto"/>
              <w:left w:val="single" w:sz="6" w:space="0" w:color="auto"/>
              <w:bottom w:val="single" w:sz="6" w:space="0" w:color="auto"/>
              <w:right w:val="single" w:sz="6" w:space="0" w:color="auto"/>
            </w:tcBorders>
            <w:hideMark/>
          </w:tcPr>
          <w:p w:rsidR="00F04B81" w:rsidRPr="00F04B81" w:rsidRDefault="00F04B81" w:rsidP="00F04B81">
            <w:pPr>
              <w:spacing w:before="26" w:after="20" w:line="20" w:lineRule="atLeast"/>
              <w:rPr>
                <w:rFonts w:ascii="Verdana" w:eastAsia="Times New Roman" w:hAnsi="Verdana" w:cs="Times New Roman"/>
                <w:sz w:val="20"/>
                <w:szCs w:val="20"/>
                <w:lang w:eastAsia="es-MX"/>
              </w:rPr>
            </w:pPr>
            <w:r w:rsidRPr="00F04B81">
              <w:rPr>
                <w:rFonts w:ascii="Verdana" w:eastAsia="Times New Roman" w:hAnsi="Verdana" w:cs="Arial"/>
                <w:sz w:val="20"/>
                <w:szCs w:val="20"/>
                <w:lang w:val="es-ES" w:eastAsia="es-MX"/>
              </w:rPr>
              <w:t>Artículos 1, 2, 4, 7, 11, 13, 16, 17, 18 fracción III, 20 fracciones II y III, 34, 35, 37 fracciones I, inciso c), II y III inciso b), 39 fracción I, 43, 47, 48, 49, 52 fracción III, 53, 58, 60, 61, 77, 79, 86, 87, 88, 92 fracción I y 126 de la Ley; y 1, 51, 53, 54, 55, 133, 135 y 154 del Reglamento.</w:t>
            </w:r>
          </w:p>
        </w:tc>
      </w:tr>
      <w:tr w:rsidR="00F04B81" w:rsidRPr="00F04B81" w:rsidTr="00F04B81">
        <w:trPr>
          <w:trHeight w:val="20"/>
        </w:trPr>
        <w:tc>
          <w:tcPr>
            <w:tcW w:w="3078" w:type="dxa"/>
            <w:tcBorders>
              <w:top w:val="single" w:sz="6" w:space="0" w:color="auto"/>
              <w:left w:val="single" w:sz="6" w:space="0" w:color="auto"/>
              <w:bottom w:val="single" w:sz="6" w:space="0" w:color="auto"/>
              <w:right w:val="single" w:sz="6" w:space="0" w:color="auto"/>
            </w:tcBorders>
            <w:hideMark/>
          </w:tcPr>
          <w:p w:rsidR="00F04B81" w:rsidRPr="00F04B81" w:rsidRDefault="00F04B81" w:rsidP="00F04B81">
            <w:pPr>
              <w:spacing w:before="26" w:after="20" w:line="20" w:lineRule="atLeast"/>
              <w:rPr>
                <w:rFonts w:ascii="Verdana" w:eastAsia="Times New Roman" w:hAnsi="Verdana" w:cs="Times New Roman"/>
                <w:sz w:val="20"/>
                <w:szCs w:val="20"/>
                <w:lang w:eastAsia="es-MX"/>
              </w:rPr>
            </w:pPr>
            <w:r w:rsidRPr="00F04B81">
              <w:rPr>
                <w:rFonts w:ascii="Verdana" w:eastAsia="Times New Roman" w:hAnsi="Verdana" w:cs="Arial"/>
                <w:sz w:val="20"/>
                <w:szCs w:val="20"/>
                <w:lang w:val="es-ES" w:eastAsia="es-MX"/>
              </w:rPr>
              <w:t>Forma de presentación:</w:t>
            </w:r>
          </w:p>
        </w:tc>
        <w:tc>
          <w:tcPr>
            <w:tcW w:w="5634" w:type="dxa"/>
            <w:tcBorders>
              <w:top w:val="single" w:sz="6" w:space="0" w:color="auto"/>
              <w:left w:val="single" w:sz="6" w:space="0" w:color="auto"/>
              <w:bottom w:val="single" w:sz="6" w:space="0" w:color="auto"/>
              <w:right w:val="single" w:sz="6" w:space="0" w:color="auto"/>
            </w:tcBorders>
            <w:hideMark/>
          </w:tcPr>
          <w:p w:rsidR="00F04B81" w:rsidRPr="00F04B81" w:rsidRDefault="00F04B81" w:rsidP="00F04B81">
            <w:pPr>
              <w:spacing w:before="26" w:after="20" w:line="20" w:lineRule="atLeast"/>
              <w:rPr>
                <w:rFonts w:ascii="Verdana" w:eastAsia="Times New Roman" w:hAnsi="Verdana" w:cs="Times New Roman"/>
                <w:sz w:val="20"/>
                <w:szCs w:val="20"/>
                <w:lang w:eastAsia="es-MX"/>
              </w:rPr>
            </w:pPr>
            <w:r w:rsidRPr="00F04B81">
              <w:rPr>
                <w:rFonts w:ascii="Verdana" w:eastAsia="Times New Roman" w:hAnsi="Verdana" w:cs="Arial"/>
                <w:sz w:val="20"/>
                <w:szCs w:val="20"/>
                <w:lang w:val="es-ES" w:eastAsia="es-MX"/>
              </w:rPr>
              <w:t>Personal.</w:t>
            </w:r>
          </w:p>
        </w:tc>
      </w:tr>
      <w:tr w:rsidR="00F04B81" w:rsidRPr="00F04B81" w:rsidTr="00F04B81">
        <w:trPr>
          <w:trHeight w:val="20"/>
        </w:trPr>
        <w:tc>
          <w:tcPr>
            <w:tcW w:w="3078" w:type="dxa"/>
            <w:tcBorders>
              <w:top w:val="single" w:sz="6" w:space="0" w:color="auto"/>
              <w:left w:val="single" w:sz="6" w:space="0" w:color="auto"/>
              <w:bottom w:val="single" w:sz="6" w:space="0" w:color="auto"/>
              <w:right w:val="single" w:sz="6" w:space="0" w:color="auto"/>
            </w:tcBorders>
            <w:hideMark/>
          </w:tcPr>
          <w:p w:rsidR="00F04B81" w:rsidRPr="00F04B81" w:rsidRDefault="00F04B81" w:rsidP="00F04B81">
            <w:pPr>
              <w:spacing w:before="26" w:after="20" w:line="20" w:lineRule="atLeast"/>
              <w:rPr>
                <w:rFonts w:ascii="Verdana" w:eastAsia="Times New Roman" w:hAnsi="Verdana" w:cs="Times New Roman"/>
                <w:sz w:val="20"/>
                <w:szCs w:val="20"/>
                <w:lang w:eastAsia="es-MX"/>
              </w:rPr>
            </w:pPr>
            <w:r w:rsidRPr="00F04B81">
              <w:rPr>
                <w:rFonts w:ascii="Verdana" w:eastAsia="Times New Roman" w:hAnsi="Verdana" w:cs="Arial"/>
                <w:sz w:val="20"/>
                <w:szCs w:val="20"/>
                <w:lang w:val="es-ES" w:eastAsia="es-MX"/>
              </w:rPr>
              <w:t>Lugar donde se presenta:</w:t>
            </w:r>
          </w:p>
        </w:tc>
        <w:tc>
          <w:tcPr>
            <w:tcW w:w="5634" w:type="dxa"/>
            <w:tcBorders>
              <w:top w:val="single" w:sz="6" w:space="0" w:color="auto"/>
              <w:left w:val="single" w:sz="6" w:space="0" w:color="auto"/>
              <w:bottom w:val="single" w:sz="6" w:space="0" w:color="auto"/>
              <w:right w:val="single" w:sz="6" w:space="0" w:color="auto"/>
            </w:tcBorders>
            <w:hideMark/>
          </w:tcPr>
          <w:p w:rsidR="00F04B81" w:rsidRPr="00F04B81" w:rsidRDefault="00F04B81" w:rsidP="00F04B81">
            <w:pPr>
              <w:spacing w:before="26" w:after="20" w:line="20" w:lineRule="atLeast"/>
              <w:rPr>
                <w:rFonts w:ascii="Verdana" w:eastAsia="Times New Roman" w:hAnsi="Verdana" w:cs="Times New Roman"/>
                <w:sz w:val="20"/>
                <w:szCs w:val="20"/>
                <w:lang w:eastAsia="es-MX"/>
              </w:rPr>
            </w:pPr>
            <w:r w:rsidRPr="00F04B81">
              <w:rPr>
                <w:rFonts w:ascii="Verdana" w:eastAsia="Times New Roman" w:hAnsi="Verdana" w:cs="Arial"/>
                <w:sz w:val="20"/>
                <w:szCs w:val="20"/>
                <w:lang w:val="es-ES" w:eastAsia="es-MX"/>
              </w:rPr>
              <w:t xml:space="preserve">Lugar destinado al tránsito de personas y en los lugares habilitados por el Instituto. </w:t>
            </w:r>
          </w:p>
        </w:tc>
      </w:tr>
      <w:tr w:rsidR="00F04B81" w:rsidRPr="00F04B81" w:rsidTr="00F04B81">
        <w:trPr>
          <w:trHeight w:val="20"/>
        </w:trPr>
        <w:tc>
          <w:tcPr>
            <w:tcW w:w="3078" w:type="dxa"/>
            <w:tcBorders>
              <w:top w:val="single" w:sz="6" w:space="0" w:color="auto"/>
              <w:left w:val="single" w:sz="6" w:space="0" w:color="auto"/>
              <w:bottom w:val="single" w:sz="6" w:space="0" w:color="auto"/>
              <w:right w:val="single" w:sz="6" w:space="0" w:color="auto"/>
            </w:tcBorders>
            <w:hideMark/>
          </w:tcPr>
          <w:p w:rsidR="00F04B81" w:rsidRPr="00F04B81" w:rsidRDefault="00F04B81" w:rsidP="00F04B81">
            <w:pPr>
              <w:spacing w:before="26" w:after="20" w:line="20" w:lineRule="atLeast"/>
              <w:rPr>
                <w:rFonts w:ascii="Verdana" w:eastAsia="Times New Roman" w:hAnsi="Verdana" w:cs="Times New Roman"/>
                <w:sz w:val="20"/>
                <w:szCs w:val="20"/>
                <w:lang w:eastAsia="es-MX"/>
              </w:rPr>
            </w:pPr>
            <w:r w:rsidRPr="00F04B81">
              <w:rPr>
                <w:rFonts w:ascii="Verdana" w:eastAsia="Times New Roman" w:hAnsi="Verdana" w:cs="Arial"/>
                <w:sz w:val="20"/>
                <w:szCs w:val="20"/>
                <w:lang w:val="es-ES" w:eastAsia="es-MX"/>
              </w:rPr>
              <w:t>Monto de los derechos:</w:t>
            </w:r>
          </w:p>
        </w:tc>
        <w:tc>
          <w:tcPr>
            <w:tcW w:w="5634" w:type="dxa"/>
            <w:tcBorders>
              <w:top w:val="single" w:sz="6" w:space="0" w:color="auto"/>
              <w:left w:val="single" w:sz="6" w:space="0" w:color="auto"/>
              <w:bottom w:val="single" w:sz="6" w:space="0" w:color="auto"/>
              <w:right w:val="single" w:sz="6" w:space="0" w:color="auto"/>
            </w:tcBorders>
            <w:hideMark/>
          </w:tcPr>
          <w:p w:rsidR="00F04B81" w:rsidRPr="00F04B81" w:rsidRDefault="00F04B81" w:rsidP="00F04B81">
            <w:pPr>
              <w:spacing w:before="26" w:after="20" w:line="20" w:lineRule="atLeast"/>
              <w:rPr>
                <w:rFonts w:ascii="Verdana" w:eastAsia="Times New Roman" w:hAnsi="Verdana" w:cs="Times New Roman"/>
                <w:sz w:val="20"/>
                <w:szCs w:val="20"/>
                <w:lang w:eastAsia="es-MX"/>
              </w:rPr>
            </w:pPr>
            <w:r w:rsidRPr="00F04B81">
              <w:rPr>
                <w:rFonts w:ascii="Verdana" w:eastAsia="Times New Roman" w:hAnsi="Verdana" w:cs="Arial"/>
                <w:sz w:val="20"/>
                <w:szCs w:val="20"/>
                <w:lang w:val="es-ES" w:eastAsia="es-MX"/>
              </w:rPr>
              <w:t>El previsto en el artículo 8 de la Ley Federal de Derechos.</w:t>
            </w:r>
          </w:p>
        </w:tc>
      </w:tr>
      <w:tr w:rsidR="00F04B81" w:rsidRPr="00F04B81" w:rsidTr="00F04B81">
        <w:trPr>
          <w:trHeight w:val="20"/>
        </w:trPr>
        <w:tc>
          <w:tcPr>
            <w:tcW w:w="3078" w:type="dxa"/>
            <w:tcBorders>
              <w:top w:val="single" w:sz="6" w:space="0" w:color="auto"/>
              <w:left w:val="single" w:sz="6" w:space="0" w:color="auto"/>
              <w:bottom w:val="single" w:sz="6" w:space="0" w:color="auto"/>
              <w:right w:val="single" w:sz="6" w:space="0" w:color="auto"/>
            </w:tcBorders>
            <w:hideMark/>
          </w:tcPr>
          <w:p w:rsidR="00F04B81" w:rsidRPr="00F04B81" w:rsidRDefault="00F04B81" w:rsidP="00F04B81">
            <w:pPr>
              <w:spacing w:before="26" w:after="20" w:line="20" w:lineRule="atLeast"/>
              <w:rPr>
                <w:rFonts w:ascii="Verdana" w:eastAsia="Times New Roman" w:hAnsi="Verdana" w:cs="Times New Roman"/>
                <w:sz w:val="20"/>
                <w:szCs w:val="20"/>
                <w:lang w:eastAsia="es-MX"/>
              </w:rPr>
            </w:pPr>
            <w:r w:rsidRPr="00F04B81">
              <w:rPr>
                <w:rFonts w:ascii="Verdana" w:eastAsia="Times New Roman" w:hAnsi="Verdana" w:cs="Arial"/>
                <w:sz w:val="20"/>
                <w:szCs w:val="20"/>
                <w:lang w:val="es-ES" w:eastAsia="es-MX"/>
              </w:rPr>
              <w:t>Plazo máximo de resolución:</w:t>
            </w:r>
          </w:p>
        </w:tc>
        <w:tc>
          <w:tcPr>
            <w:tcW w:w="5634" w:type="dxa"/>
            <w:tcBorders>
              <w:top w:val="single" w:sz="6" w:space="0" w:color="auto"/>
              <w:left w:val="single" w:sz="6" w:space="0" w:color="auto"/>
              <w:bottom w:val="single" w:sz="6" w:space="0" w:color="auto"/>
              <w:right w:val="single" w:sz="6" w:space="0" w:color="auto"/>
            </w:tcBorders>
            <w:hideMark/>
          </w:tcPr>
          <w:p w:rsidR="00F04B81" w:rsidRPr="00F04B81" w:rsidRDefault="00F04B81" w:rsidP="00F04B81">
            <w:pPr>
              <w:spacing w:before="26" w:after="20" w:line="20" w:lineRule="atLeast"/>
              <w:rPr>
                <w:rFonts w:ascii="Verdana" w:eastAsia="Times New Roman" w:hAnsi="Verdana" w:cs="Times New Roman"/>
                <w:sz w:val="20"/>
                <w:szCs w:val="20"/>
                <w:lang w:eastAsia="es-MX"/>
              </w:rPr>
            </w:pPr>
            <w:r w:rsidRPr="00F04B81">
              <w:rPr>
                <w:rFonts w:ascii="Verdana" w:eastAsia="Times New Roman" w:hAnsi="Verdana" w:cs="Arial"/>
                <w:sz w:val="20"/>
                <w:szCs w:val="20"/>
                <w:lang w:val="es-ES" w:eastAsia="es-MX"/>
              </w:rPr>
              <w:t>Inmediata.</w:t>
            </w:r>
          </w:p>
        </w:tc>
      </w:tr>
      <w:tr w:rsidR="00F04B81" w:rsidRPr="00F04B81" w:rsidTr="00F04B81">
        <w:trPr>
          <w:trHeight w:val="20"/>
        </w:trPr>
        <w:tc>
          <w:tcPr>
            <w:tcW w:w="3078" w:type="dxa"/>
            <w:tcBorders>
              <w:top w:val="single" w:sz="6" w:space="0" w:color="auto"/>
              <w:left w:val="single" w:sz="6" w:space="0" w:color="auto"/>
              <w:bottom w:val="single" w:sz="6" w:space="0" w:color="auto"/>
              <w:right w:val="single" w:sz="6" w:space="0" w:color="auto"/>
            </w:tcBorders>
            <w:hideMark/>
          </w:tcPr>
          <w:p w:rsidR="00F04B81" w:rsidRPr="00F04B81" w:rsidRDefault="00F04B81" w:rsidP="00F04B81">
            <w:pPr>
              <w:spacing w:before="26" w:after="20" w:line="20" w:lineRule="atLeast"/>
              <w:rPr>
                <w:rFonts w:ascii="Verdana" w:eastAsia="Times New Roman" w:hAnsi="Verdana" w:cs="Times New Roman"/>
                <w:sz w:val="20"/>
                <w:szCs w:val="20"/>
                <w:lang w:eastAsia="es-MX"/>
              </w:rPr>
            </w:pPr>
            <w:r w:rsidRPr="00F04B81">
              <w:rPr>
                <w:rFonts w:ascii="Verdana" w:eastAsia="Times New Roman" w:hAnsi="Verdana" w:cs="Arial"/>
                <w:sz w:val="20"/>
                <w:szCs w:val="20"/>
                <w:lang w:val="es-ES" w:eastAsia="es-MX"/>
              </w:rPr>
              <w:t>Vigencia de la autorización:</w:t>
            </w:r>
          </w:p>
        </w:tc>
        <w:tc>
          <w:tcPr>
            <w:tcW w:w="5634" w:type="dxa"/>
            <w:tcBorders>
              <w:top w:val="single" w:sz="6" w:space="0" w:color="auto"/>
              <w:left w:val="single" w:sz="6" w:space="0" w:color="auto"/>
              <w:bottom w:val="single" w:sz="6" w:space="0" w:color="auto"/>
              <w:right w:val="single" w:sz="6" w:space="0" w:color="auto"/>
            </w:tcBorders>
            <w:hideMark/>
          </w:tcPr>
          <w:p w:rsidR="00F04B81" w:rsidRPr="00F04B81" w:rsidRDefault="00F04B81" w:rsidP="00F04B81">
            <w:pPr>
              <w:spacing w:before="26" w:after="20" w:line="20" w:lineRule="atLeast"/>
              <w:rPr>
                <w:rFonts w:ascii="Verdana" w:eastAsia="Times New Roman" w:hAnsi="Verdana" w:cs="Times New Roman"/>
                <w:sz w:val="20"/>
                <w:szCs w:val="20"/>
                <w:lang w:eastAsia="es-MX"/>
              </w:rPr>
            </w:pPr>
            <w:r w:rsidRPr="00F04B81">
              <w:rPr>
                <w:rFonts w:ascii="Verdana" w:eastAsia="Times New Roman" w:hAnsi="Verdana" w:cs="Arial"/>
                <w:sz w:val="20"/>
                <w:szCs w:val="20"/>
                <w:lang w:val="es-ES" w:eastAsia="es-MX"/>
              </w:rPr>
              <w:t>Cinco años.</w:t>
            </w:r>
          </w:p>
        </w:tc>
      </w:tr>
      <w:tr w:rsidR="00F04B81" w:rsidRPr="00F04B81" w:rsidTr="00F04B81">
        <w:trPr>
          <w:trHeight w:val="20"/>
        </w:trPr>
        <w:tc>
          <w:tcPr>
            <w:tcW w:w="3078" w:type="dxa"/>
            <w:tcBorders>
              <w:top w:val="single" w:sz="6" w:space="0" w:color="auto"/>
              <w:left w:val="single" w:sz="6" w:space="0" w:color="auto"/>
              <w:bottom w:val="single" w:sz="6" w:space="0" w:color="auto"/>
              <w:right w:val="single" w:sz="6" w:space="0" w:color="auto"/>
            </w:tcBorders>
            <w:hideMark/>
          </w:tcPr>
          <w:p w:rsidR="00F04B81" w:rsidRPr="00F04B81" w:rsidRDefault="00F04B81" w:rsidP="00F04B81">
            <w:pPr>
              <w:spacing w:before="26" w:after="20" w:line="20" w:lineRule="atLeast"/>
              <w:rPr>
                <w:rFonts w:ascii="Verdana" w:eastAsia="Times New Roman" w:hAnsi="Verdana" w:cs="Times New Roman"/>
                <w:sz w:val="20"/>
                <w:szCs w:val="20"/>
                <w:lang w:eastAsia="es-MX"/>
              </w:rPr>
            </w:pPr>
            <w:r w:rsidRPr="00F04B81">
              <w:rPr>
                <w:rFonts w:ascii="Verdana" w:eastAsia="Times New Roman" w:hAnsi="Verdana" w:cs="Arial"/>
                <w:sz w:val="20"/>
                <w:szCs w:val="20"/>
                <w:lang w:val="es-ES" w:eastAsia="es-MX"/>
              </w:rPr>
              <w:t>Excepciones al artículo 15-A de la LFPA:</w:t>
            </w:r>
          </w:p>
        </w:tc>
        <w:tc>
          <w:tcPr>
            <w:tcW w:w="5634" w:type="dxa"/>
            <w:tcBorders>
              <w:top w:val="single" w:sz="6" w:space="0" w:color="auto"/>
              <w:left w:val="single" w:sz="6" w:space="0" w:color="auto"/>
              <w:bottom w:val="single" w:sz="6" w:space="0" w:color="auto"/>
              <w:right w:val="single" w:sz="6" w:space="0" w:color="auto"/>
            </w:tcBorders>
            <w:hideMark/>
          </w:tcPr>
          <w:p w:rsidR="00F04B81" w:rsidRPr="00F04B81" w:rsidRDefault="00F04B81" w:rsidP="00F04B81">
            <w:pPr>
              <w:spacing w:before="26" w:after="20" w:line="20" w:lineRule="atLeast"/>
              <w:rPr>
                <w:rFonts w:ascii="Verdana" w:eastAsia="Times New Roman" w:hAnsi="Verdana" w:cs="Times New Roman"/>
                <w:sz w:val="20"/>
                <w:szCs w:val="20"/>
                <w:lang w:eastAsia="es-MX"/>
              </w:rPr>
            </w:pPr>
            <w:r w:rsidRPr="00F04B81">
              <w:rPr>
                <w:rFonts w:ascii="Verdana" w:eastAsia="Times New Roman" w:hAnsi="Verdana" w:cs="Arial"/>
                <w:sz w:val="20"/>
                <w:szCs w:val="20"/>
                <w:lang w:val="es-ES" w:eastAsia="es-MX"/>
              </w:rPr>
              <w:t>Se requiere original de todos los documentos señalados en los requisitos</w:t>
            </w:r>
          </w:p>
        </w:tc>
      </w:tr>
      <w:tr w:rsidR="00F04B81" w:rsidRPr="00F04B81" w:rsidTr="00F04B81">
        <w:trPr>
          <w:trHeight w:val="20"/>
        </w:trPr>
        <w:tc>
          <w:tcPr>
            <w:tcW w:w="8712" w:type="dxa"/>
            <w:gridSpan w:val="2"/>
            <w:tcBorders>
              <w:top w:val="single" w:sz="6" w:space="0" w:color="auto"/>
              <w:left w:val="single" w:sz="6" w:space="0" w:color="auto"/>
              <w:bottom w:val="single" w:sz="6" w:space="0" w:color="auto"/>
              <w:right w:val="single" w:sz="6" w:space="0" w:color="auto"/>
            </w:tcBorders>
            <w:hideMark/>
          </w:tcPr>
          <w:p w:rsidR="00F04B81" w:rsidRPr="00F04B81" w:rsidRDefault="00F04B81" w:rsidP="00F04B81">
            <w:pPr>
              <w:spacing w:before="26" w:after="20" w:line="240" w:lineRule="auto"/>
              <w:rPr>
                <w:rFonts w:ascii="Verdana" w:eastAsia="Times New Roman" w:hAnsi="Verdana" w:cs="Times New Roman"/>
                <w:sz w:val="20"/>
                <w:szCs w:val="20"/>
                <w:lang w:eastAsia="es-MX"/>
              </w:rPr>
            </w:pPr>
            <w:r w:rsidRPr="00F04B81">
              <w:rPr>
                <w:rFonts w:ascii="Verdana" w:eastAsia="Times New Roman" w:hAnsi="Verdana" w:cs="Arial"/>
                <w:b/>
                <w:sz w:val="20"/>
                <w:szCs w:val="20"/>
                <w:lang w:val="es-ES" w:eastAsia="es-MX"/>
              </w:rPr>
              <w:t>Requisitos:</w:t>
            </w:r>
          </w:p>
          <w:p w:rsidR="00F04B81" w:rsidRPr="00F04B81" w:rsidRDefault="00F04B81" w:rsidP="00F04B81">
            <w:pPr>
              <w:spacing w:before="26" w:after="20" w:line="240" w:lineRule="auto"/>
              <w:ind w:left="432" w:hanging="432"/>
              <w:rPr>
                <w:rFonts w:ascii="Verdana" w:eastAsia="Times New Roman" w:hAnsi="Verdana" w:cs="Times New Roman"/>
                <w:sz w:val="20"/>
                <w:szCs w:val="20"/>
                <w:lang w:eastAsia="es-MX"/>
              </w:rPr>
            </w:pPr>
            <w:r w:rsidRPr="00F04B81">
              <w:rPr>
                <w:rFonts w:ascii="Verdana" w:eastAsia="Times New Roman" w:hAnsi="Verdana" w:cs="Arial"/>
                <w:b/>
                <w:sz w:val="20"/>
                <w:szCs w:val="20"/>
                <w:lang w:val="es-ES" w:eastAsia="es-MX"/>
              </w:rPr>
              <w:t xml:space="preserve">1. </w:t>
            </w:r>
            <w:r w:rsidRPr="00F04B81">
              <w:rPr>
                <w:rFonts w:ascii="Verdana" w:eastAsia="Times New Roman" w:hAnsi="Verdana" w:cs="Arial"/>
                <w:b/>
                <w:sz w:val="20"/>
                <w:szCs w:val="20"/>
                <w:lang w:val="es-ES" w:eastAsia="es-MX"/>
              </w:rPr>
              <w:tab/>
            </w:r>
            <w:r w:rsidRPr="00F04B81">
              <w:rPr>
                <w:rFonts w:ascii="Verdana" w:eastAsia="Times New Roman" w:hAnsi="Verdana" w:cs="Arial"/>
                <w:sz w:val="20"/>
                <w:szCs w:val="20"/>
                <w:lang w:val="es-ES" w:eastAsia="es-MX"/>
              </w:rPr>
              <w:t>Los nacionales guatemaltecos y personas extranjeras residentes en Guatemala deberán presentar original y copia de la cédula de vecindad, del documento personal de identificación, o del pasaporte o documento de identidad y viaje, válido y vigente.</w:t>
            </w:r>
          </w:p>
          <w:p w:rsidR="00F04B81" w:rsidRPr="00F04B81" w:rsidRDefault="00F04B81" w:rsidP="00F04B81">
            <w:pPr>
              <w:spacing w:before="26" w:after="20" w:line="240" w:lineRule="auto"/>
              <w:ind w:left="432" w:hanging="432"/>
              <w:rPr>
                <w:rFonts w:ascii="Verdana" w:eastAsia="Times New Roman" w:hAnsi="Verdana" w:cs="Times New Roman"/>
                <w:sz w:val="20"/>
                <w:szCs w:val="20"/>
                <w:lang w:eastAsia="es-MX"/>
              </w:rPr>
            </w:pPr>
            <w:r w:rsidRPr="00F04B81">
              <w:rPr>
                <w:rFonts w:ascii="Verdana" w:eastAsia="Times New Roman" w:hAnsi="Verdana" w:cs="Arial"/>
                <w:sz w:val="20"/>
                <w:szCs w:val="20"/>
                <w:lang w:val="es-ES" w:eastAsia="es-MX"/>
              </w:rPr>
              <w:tab/>
              <w:t>En el caso de menores de edad, se deberá presentar certificado de nacimiento, cuya fecha de expedición no sea mayor a seis meses.</w:t>
            </w:r>
          </w:p>
          <w:p w:rsidR="00F04B81" w:rsidRPr="00F04B81" w:rsidRDefault="00F04B81" w:rsidP="00F04B81">
            <w:pPr>
              <w:spacing w:before="26" w:after="20" w:line="240" w:lineRule="auto"/>
              <w:ind w:left="432" w:hanging="432"/>
              <w:rPr>
                <w:rFonts w:ascii="Verdana" w:eastAsia="Times New Roman" w:hAnsi="Verdana" w:cs="Times New Roman"/>
                <w:sz w:val="20"/>
                <w:szCs w:val="20"/>
                <w:lang w:eastAsia="es-MX"/>
              </w:rPr>
            </w:pPr>
            <w:r w:rsidRPr="00F04B81">
              <w:rPr>
                <w:rFonts w:ascii="Verdana" w:eastAsia="Times New Roman" w:hAnsi="Verdana" w:cs="Arial"/>
                <w:b/>
                <w:sz w:val="20"/>
                <w:szCs w:val="20"/>
                <w:lang w:val="es-ES" w:eastAsia="es-MX"/>
              </w:rPr>
              <w:t>2.</w:t>
            </w:r>
            <w:r w:rsidRPr="00F04B81">
              <w:rPr>
                <w:rFonts w:ascii="Verdana" w:eastAsia="Times New Roman" w:hAnsi="Verdana" w:cs="Arial"/>
                <w:b/>
                <w:sz w:val="20"/>
                <w:szCs w:val="20"/>
                <w:lang w:val="es-ES" w:eastAsia="es-MX"/>
              </w:rPr>
              <w:tab/>
            </w:r>
            <w:r w:rsidRPr="00F04B81">
              <w:rPr>
                <w:rFonts w:ascii="Verdana" w:eastAsia="Times New Roman" w:hAnsi="Verdana" w:cs="Arial"/>
                <w:sz w:val="20"/>
                <w:szCs w:val="20"/>
                <w:lang w:val="es-ES" w:eastAsia="es-MX"/>
              </w:rPr>
              <w:t>En el caso de guatemaltecos menores de edad o sujetos a tutela jurídica no acompañados por ambos padres o tutores, deberán presentar permiso de los padres o del tutor legal otorgado ante notario público.</w:t>
            </w:r>
          </w:p>
          <w:p w:rsidR="00F04B81" w:rsidRPr="00F04B81" w:rsidRDefault="00F04B81" w:rsidP="00F04B81">
            <w:pPr>
              <w:spacing w:before="26" w:after="20" w:line="240" w:lineRule="auto"/>
              <w:ind w:left="432" w:hanging="432"/>
              <w:rPr>
                <w:rFonts w:ascii="Verdana" w:eastAsia="Times New Roman" w:hAnsi="Verdana" w:cs="Times New Roman"/>
                <w:sz w:val="20"/>
                <w:szCs w:val="20"/>
                <w:lang w:eastAsia="es-MX"/>
              </w:rPr>
            </w:pPr>
            <w:r w:rsidRPr="00F04B81">
              <w:rPr>
                <w:rFonts w:ascii="Verdana" w:eastAsia="Times New Roman" w:hAnsi="Verdana" w:cs="Arial"/>
                <w:b/>
                <w:sz w:val="20"/>
                <w:szCs w:val="20"/>
                <w:lang w:val="es-ES" w:eastAsia="es-MX"/>
              </w:rPr>
              <w:lastRenderedPageBreak/>
              <w:t>3</w:t>
            </w:r>
            <w:r w:rsidRPr="00F04B81">
              <w:rPr>
                <w:rFonts w:ascii="Verdana" w:eastAsia="Times New Roman" w:hAnsi="Verdana" w:cs="Arial"/>
                <w:sz w:val="20"/>
                <w:szCs w:val="20"/>
                <w:lang w:val="es-ES" w:eastAsia="es-MX"/>
              </w:rPr>
              <w:t>.</w:t>
            </w:r>
            <w:r w:rsidRPr="00F04B81">
              <w:rPr>
                <w:rFonts w:ascii="Verdana" w:eastAsia="Times New Roman" w:hAnsi="Verdana" w:cs="Arial"/>
                <w:sz w:val="20"/>
                <w:szCs w:val="20"/>
                <w:lang w:val="es-ES" w:eastAsia="es-MX"/>
              </w:rPr>
              <w:tab/>
              <w:t>Los nacionales beliceños deberán presentar pasaporte o documento de identidad y viaje válido y vigente. Los residentes permanentes en Belice deberán presentar visa que los acredite como residentes permanentes.</w:t>
            </w:r>
          </w:p>
          <w:p w:rsidR="00F04B81" w:rsidRPr="00F04B81" w:rsidRDefault="00F04B81" w:rsidP="00F04B81">
            <w:pPr>
              <w:spacing w:before="26" w:after="20" w:line="240" w:lineRule="auto"/>
              <w:ind w:left="432" w:hanging="432"/>
              <w:rPr>
                <w:rFonts w:ascii="Verdana" w:eastAsia="Times New Roman" w:hAnsi="Verdana" w:cs="Times New Roman"/>
                <w:sz w:val="20"/>
                <w:szCs w:val="20"/>
                <w:lang w:eastAsia="es-MX"/>
              </w:rPr>
            </w:pPr>
            <w:r w:rsidRPr="00F04B81">
              <w:rPr>
                <w:rFonts w:ascii="Verdana" w:eastAsia="Times New Roman" w:hAnsi="Verdana" w:cs="Arial"/>
                <w:b/>
                <w:sz w:val="20"/>
                <w:szCs w:val="20"/>
                <w:lang w:val="es-ES" w:eastAsia="es-MX"/>
              </w:rPr>
              <w:t>4.</w:t>
            </w:r>
            <w:r w:rsidRPr="00F04B81">
              <w:rPr>
                <w:rFonts w:ascii="Verdana" w:eastAsia="Times New Roman" w:hAnsi="Verdana" w:cs="Arial"/>
                <w:b/>
                <w:sz w:val="20"/>
                <w:szCs w:val="20"/>
                <w:lang w:val="es-ES" w:eastAsia="es-MX"/>
              </w:rPr>
              <w:tab/>
            </w:r>
            <w:r w:rsidRPr="00F04B81">
              <w:rPr>
                <w:rFonts w:ascii="Verdana" w:eastAsia="Times New Roman" w:hAnsi="Verdana" w:cs="Arial"/>
                <w:sz w:val="20"/>
                <w:szCs w:val="20"/>
                <w:lang w:val="es-ES" w:eastAsia="es-MX"/>
              </w:rPr>
              <w:t>En el caso de beliceños menores de edad, o sujetos a tutela jurídica no acompañados por ambos padres o tutores, deberán presentar permiso de los padres o del tutor legal que contenga certificación de un Juez de Paz</w:t>
            </w:r>
            <w:r w:rsidRPr="00F04B81">
              <w:rPr>
                <w:rFonts w:ascii="Verdana" w:eastAsia="Times New Roman" w:hAnsi="Verdana" w:cs="Arial"/>
                <w:b/>
                <w:sz w:val="20"/>
                <w:szCs w:val="20"/>
                <w:u w:val="single"/>
                <w:lang w:val="es-ES" w:eastAsia="es-MX"/>
              </w:rPr>
              <w:t>;</w:t>
            </w:r>
          </w:p>
          <w:p w:rsidR="00F04B81" w:rsidRPr="00F04B81" w:rsidRDefault="00F04B81" w:rsidP="00F04B81">
            <w:pPr>
              <w:spacing w:before="26" w:after="20" w:line="240" w:lineRule="auto"/>
              <w:ind w:left="432" w:hanging="432"/>
              <w:rPr>
                <w:rFonts w:ascii="Verdana" w:eastAsia="Times New Roman" w:hAnsi="Verdana" w:cs="Times New Roman"/>
                <w:sz w:val="20"/>
                <w:szCs w:val="20"/>
                <w:lang w:eastAsia="es-MX"/>
              </w:rPr>
            </w:pPr>
            <w:r w:rsidRPr="00F04B81">
              <w:rPr>
                <w:rFonts w:ascii="Verdana" w:eastAsia="Times New Roman" w:hAnsi="Verdana" w:cs="Arial"/>
                <w:b/>
                <w:sz w:val="20"/>
                <w:szCs w:val="20"/>
                <w:lang w:val="es-ES" w:eastAsia="es-MX"/>
              </w:rPr>
              <w:t>5.</w:t>
            </w:r>
            <w:r w:rsidRPr="00F04B81">
              <w:rPr>
                <w:rFonts w:ascii="Verdana" w:eastAsia="Times New Roman" w:hAnsi="Verdana" w:cs="Arial"/>
                <w:b/>
                <w:sz w:val="20"/>
                <w:szCs w:val="20"/>
                <w:lang w:val="es-ES" w:eastAsia="es-MX"/>
              </w:rPr>
              <w:tab/>
            </w:r>
            <w:r w:rsidRPr="00F04B81">
              <w:rPr>
                <w:rFonts w:ascii="Verdana" w:eastAsia="MS Gothic" w:hAnsi="Verdana" w:cs="Arial"/>
                <w:color w:val="000000"/>
                <w:sz w:val="20"/>
                <w:szCs w:val="20"/>
                <w:lang w:val="es-ES" w:eastAsia="es-MX"/>
              </w:rPr>
              <w:t>En caso de ser nacionales de El Salvador y  Honduras, pasaporte o documento de identidad y viaje válido y vigente.</w:t>
            </w:r>
          </w:p>
          <w:p w:rsidR="00F04B81" w:rsidRPr="00F04B81" w:rsidRDefault="00F04B81" w:rsidP="00F04B81">
            <w:pPr>
              <w:spacing w:before="26" w:after="20" w:line="240" w:lineRule="auto"/>
              <w:ind w:left="432" w:hanging="432"/>
              <w:rPr>
                <w:rFonts w:ascii="Verdana" w:eastAsia="Times New Roman" w:hAnsi="Verdana" w:cs="Times New Roman"/>
                <w:sz w:val="20"/>
                <w:szCs w:val="20"/>
                <w:lang w:eastAsia="es-MX"/>
              </w:rPr>
            </w:pPr>
            <w:r w:rsidRPr="00F04B81">
              <w:rPr>
                <w:rFonts w:ascii="Verdana" w:eastAsia="MS Gothic" w:hAnsi="Verdana" w:cs="Arial"/>
                <w:color w:val="000000"/>
                <w:sz w:val="20"/>
                <w:szCs w:val="20"/>
                <w:lang w:val="es-ES_tradnl" w:eastAsia="es-MX"/>
              </w:rPr>
              <w:tab/>
              <w:t>Las personas extranjeras que residan en estos países, deberán presentar visa que los acredite como residentes permanentes.</w:t>
            </w:r>
          </w:p>
          <w:p w:rsidR="00F04B81" w:rsidRPr="00F04B81" w:rsidRDefault="00F04B81" w:rsidP="00F04B81">
            <w:pPr>
              <w:spacing w:before="26" w:after="20" w:line="240" w:lineRule="auto"/>
              <w:ind w:left="432" w:hanging="432"/>
              <w:rPr>
                <w:rFonts w:ascii="Verdana" w:eastAsia="Times New Roman" w:hAnsi="Verdana" w:cs="Times New Roman"/>
                <w:sz w:val="20"/>
                <w:szCs w:val="20"/>
                <w:lang w:eastAsia="es-MX"/>
              </w:rPr>
            </w:pPr>
            <w:r w:rsidRPr="00F04B81">
              <w:rPr>
                <w:rFonts w:ascii="Verdana" w:eastAsia="MS Gothic" w:hAnsi="Verdana" w:cs="Arial"/>
                <w:color w:val="000000"/>
                <w:sz w:val="20"/>
                <w:szCs w:val="20"/>
                <w:lang w:val="es-ES_tradnl" w:eastAsia="es-MX"/>
              </w:rPr>
              <w:tab/>
              <w:t xml:space="preserve">En caso de salvadoreños y hondureños menores de edad </w:t>
            </w:r>
            <w:r w:rsidRPr="00F04B81">
              <w:rPr>
                <w:rFonts w:ascii="Verdana" w:eastAsia="MS Gothic" w:hAnsi="Verdana" w:cs="Arial"/>
                <w:color w:val="000000"/>
                <w:sz w:val="20"/>
                <w:szCs w:val="20"/>
                <w:lang w:val="es-ES" w:eastAsia="es-MX"/>
              </w:rPr>
              <w:t>o sujetos a tutela jurídica no acompañados por ambos padres o tutores, deberán presentar permiso de los padres o del tutor legal que contenga certificación de un Juez de Paz,</w:t>
            </w:r>
            <w:r w:rsidRPr="00F04B81">
              <w:rPr>
                <w:rFonts w:ascii="Verdana" w:eastAsia="MS Gothic" w:hAnsi="Verdana" w:cs="Arial"/>
                <w:color w:val="000000"/>
                <w:sz w:val="20"/>
                <w:szCs w:val="20"/>
                <w:lang w:val="es-ES_tradnl" w:eastAsia="es-MX"/>
              </w:rPr>
              <w:t xml:space="preserve"> y</w:t>
            </w:r>
          </w:p>
          <w:p w:rsidR="00F04B81" w:rsidRPr="00F04B81" w:rsidRDefault="00F04B81" w:rsidP="00F04B81">
            <w:pPr>
              <w:spacing w:before="26" w:after="20" w:line="20" w:lineRule="atLeast"/>
              <w:ind w:left="432" w:hanging="432"/>
              <w:rPr>
                <w:rFonts w:ascii="Verdana" w:eastAsia="Times New Roman" w:hAnsi="Verdana" w:cs="Times New Roman"/>
                <w:sz w:val="20"/>
                <w:szCs w:val="20"/>
                <w:lang w:eastAsia="es-MX"/>
              </w:rPr>
            </w:pPr>
            <w:r w:rsidRPr="00F04B81">
              <w:rPr>
                <w:rFonts w:ascii="Verdana" w:eastAsia="Times New Roman" w:hAnsi="Verdana" w:cs="Arial"/>
                <w:b/>
                <w:sz w:val="20"/>
                <w:szCs w:val="20"/>
                <w:lang w:val="es-ES" w:eastAsia="es-MX"/>
              </w:rPr>
              <w:t>6.</w:t>
            </w:r>
            <w:r w:rsidRPr="00F04B81">
              <w:rPr>
                <w:rFonts w:ascii="Verdana" w:eastAsia="Times New Roman" w:hAnsi="Verdana" w:cs="Arial"/>
                <w:sz w:val="20"/>
                <w:szCs w:val="20"/>
                <w:lang w:val="es-ES" w:eastAsia="es-MX"/>
              </w:rPr>
              <w:t xml:space="preserve"> </w:t>
            </w:r>
            <w:r w:rsidRPr="00F04B81">
              <w:rPr>
                <w:rFonts w:ascii="Verdana" w:eastAsia="Times New Roman" w:hAnsi="Verdana" w:cs="Arial"/>
                <w:sz w:val="20"/>
                <w:szCs w:val="20"/>
                <w:lang w:val="es-ES" w:eastAsia="es-MX"/>
              </w:rPr>
              <w:tab/>
              <w:t xml:space="preserve">Comprobante del pago de derechos conforme a la cuota vigente a la presentación del trámite en términos de la Ley Federal de Derechos. </w:t>
            </w:r>
          </w:p>
        </w:tc>
      </w:tr>
      <w:tr w:rsidR="00F04B81" w:rsidRPr="00F04B81" w:rsidTr="00F04B81">
        <w:trPr>
          <w:trHeight w:val="20"/>
        </w:trPr>
        <w:tc>
          <w:tcPr>
            <w:tcW w:w="8712" w:type="dxa"/>
            <w:gridSpan w:val="2"/>
            <w:tcBorders>
              <w:top w:val="single" w:sz="6" w:space="0" w:color="auto"/>
              <w:left w:val="single" w:sz="6" w:space="0" w:color="auto"/>
              <w:bottom w:val="single" w:sz="6" w:space="0" w:color="auto"/>
              <w:right w:val="single" w:sz="6" w:space="0" w:color="auto"/>
            </w:tcBorders>
            <w:hideMark/>
          </w:tcPr>
          <w:p w:rsidR="00F04B81" w:rsidRPr="00F04B81" w:rsidRDefault="00F04B81" w:rsidP="00F04B81">
            <w:pPr>
              <w:spacing w:before="26" w:after="20" w:line="240" w:lineRule="auto"/>
              <w:rPr>
                <w:rFonts w:ascii="Verdana" w:eastAsia="Times New Roman" w:hAnsi="Verdana" w:cs="Times New Roman"/>
                <w:sz w:val="20"/>
                <w:szCs w:val="20"/>
                <w:lang w:eastAsia="es-MX"/>
              </w:rPr>
            </w:pPr>
            <w:r w:rsidRPr="00F04B81">
              <w:rPr>
                <w:rFonts w:ascii="Verdana" w:eastAsia="Times New Roman" w:hAnsi="Verdana" w:cs="Arial"/>
                <w:b/>
                <w:sz w:val="20"/>
                <w:szCs w:val="20"/>
                <w:lang w:val="es-ES" w:eastAsia="es-MX"/>
              </w:rPr>
              <w:lastRenderedPageBreak/>
              <w:t>Criterios de resolución:</w:t>
            </w:r>
          </w:p>
          <w:p w:rsidR="00F04B81" w:rsidRPr="00F04B81" w:rsidRDefault="00F04B81" w:rsidP="00F04B81">
            <w:pPr>
              <w:spacing w:before="26" w:after="20" w:line="240" w:lineRule="auto"/>
              <w:ind w:left="432" w:hanging="432"/>
              <w:rPr>
                <w:rFonts w:ascii="Verdana" w:eastAsia="Times New Roman" w:hAnsi="Verdana" w:cs="Times New Roman"/>
                <w:sz w:val="20"/>
                <w:szCs w:val="20"/>
                <w:lang w:eastAsia="es-MX"/>
              </w:rPr>
            </w:pPr>
            <w:r w:rsidRPr="00F04B81">
              <w:rPr>
                <w:rFonts w:ascii="Verdana" w:eastAsia="Times New Roman" w:hAnsi="Verdana" w:cs="Arial"/>
                <w:b/>
                <w:sz w:val="20"/>
                <w:szCs w:val="20"/>
                <w:lang w:val="es-ES" w:eastAsia="es-MX"/>
              </w:rPr>
              <w:t>I.</w:t>
            </w:r>
            <w:r w:rsidRPr="00F04B81">
              <w:rPr>
                <w:rFonts w:ascii="Verdana" w:eastAsia="Times New Roman" w:hAnsi="Verdana" w:cs="Arial"/>
                <w:b/>
                <w:sz w:val="20"/>
                <w:szCs w:val="20"/>
                <w:lang w:val="es-ES" w:eastAsia="es-MX"/>
              </w:rPr>
              <w:tab/>
            </w:r>
            <w:r w:rsidRPr="00F04B81">
              <w:rPr>
                <w:rFonts w:ascii="Verdana" w:eastAsia="Times New Roman" w:hAnsi="Verdana" w:cs="Arial"/>
                <w:sz w:val="20"/>
                <w:szCs w:val="20"/>
                <w:lang w:val="es-ES" w:eastAsia="es-MX"/>
              </w:rPr>
              <w:t>La autoridad migratoria entrevistará a la persona extranjera para que proporcione información biográfica y recabará a través de medios electrónicos la información contenida en el formato básico, consistente en:</w:t>
            </w:r>
          </w:p>
          <w:p w:rsidR="00F04B81" w:rsidRPr="00F04B81" w:rsidRDefault="00F04B81" w:rsidP="00F04B81">
            <w:pPr>
              <w:spacing w:before="26" w:after="20" w:line="240" w:lineRule="auto"/>
              <w:ind w:left="864" w:hanging="432"/>
              <w:rPr>
                <w:rFonts w:ascii="Verdana" w:eastAsia="Times New Roman" w:hAnsi="Verdana" w:cs="Times New Roman"/>
                <w:sz w:val="20"/>
                <w:szCs w:val="20"/>
                <w:lang w:eastAsia="es-MX"/>
              </w:rPr>
            </w:pPr>
            <w:r w:rsidRPr="00F04B81">
              <w:rPr>
                <w:rFonts w:ascii="Verdana" w:eastAsia="Times New Roman" w:hAnsi="Verdana" w:cs="Arial"/>
                <w:b/>
                <w:sz w:val="20"/>
                <w:szCs w:val="20"/>
                <w:lang w:val="es-ES" w:eastAsia="es-MX"/>
              </w:rPr>
              <w:t>a)</w:t>
            </w:r>
            <w:r w:rsidRPr="00F04B81">
              <w:rPr>
                <w:rFonts w:ascii="Verdana" w:eastAsia="Times New Roman" w:hAnsi="Verdana" w:cs="Arial"/>
                <w:b/>
                <w:sz w:val="20"/>
                <w:szCs w:val="20"/>
                <w:lang w:val="es-ES" w:eastAsia="es-MX"/>
              </w:rPr>
              <w:tab/>
            </w:r>
            <w:r w:rsidRPr="00F04B81">
              <w:rPr>
                <w:rFonts w:ascii="Verdana" w:eastAsia="Times New Roman" w:hAnsi="Verdana" w:cs="Arial"/>
                <w:sz w:val="20"/>
                <w:szCs w:val="20"/>
                <w:lang w:val="es-ES" w:eastAsia="es-MX"/>
              </w:rPr>
              <w:t>Imagen de rostro;</w:t>
            </w:r>
          </w:p>
          <w:p w:rsidR="00F04B81" w:rsidRPr="00F04B81" w:rsidRDefault="00F04B81" w:rsidP="00F04B81">
            <w:pPr>
              <w:spacing w:before="26" w:after="20" w:line="240" w:lineRule="auto"/>
              <w:ind w:left="864" w:hanging="432"/>
              <w:rPr>
                <w:rFonts w:ascii="Verdana" w:eastAsia="Times New Roman" w:hAnsi="Verdana" w:cs="Times New Roman"/>
                <w:sz w:val="20"/>
                <w:szCs w:val="20"/>
                <w:lang w:eastAsia="es-MX"/>
              </w:rPr>
            </w:pPr>
            <w:r w:rsidRPr="00F04B81">
              <w:rPr>
                <w:rFonts w:ascii="Verdana" w:eastAsia="Times New Roman" w:hAnsi="Verdana" w:cs="Arial"/>
                <w:b/>
                <w:sz w:val="20"/>
                <w:szCs w:val="20"/>
                <w:lang w:val="es-ES" w:eastAsia="es-MX"/>
              </w:rPr>
              <w:t>b)</w:t>
            </w:r>
            <w:r w:rsidRPr="00F04B81">
              <w:rPr>
                <w:rFonts w:ascii="Verdana" w:eastAsia="Times New Roman" w:hAnsi="Verdana" w:cs="Arial"/>
                <w:b/>
                <w:sz w:val="20"/>
                <w:szCs w:val="20"/>
                <w:lang w:val="es-ES" w:eastAsia="es-MX"/>
              </w:rPr>
              <w:tab/>
            </w:r>
            <w:r w:rsidRPr="00F04B81">
              <w:rPr>
                <w:rFonts w:ascii="Verdana" w:eastAsia="Times New Roman" w:hAnsi="Verdana" w:cs="Arial"/>
                <w:sz w:val="20"/>
                <w:szCs w:val="20"/>
                <w:lang w:val="es-ES" w:eastAsia="es-MX"/>
              </w:rPr>
              <w:t>Huellas dactilares de los cinco dedos (pulgar, índice, medio, anular y meñique) de ambas manos;</w:t>
            </w:r>
          </w:p>
          <w:p w:rsidR="00F04B81" w:rsidRPr="00F04B81" w:rsidRDefault="00F04B81" w:rsidP="00F04B81">
            <w:pPr>
              <w:spacing w:before="26" w:after="20" w:line="240" w:lineRule="auto"/>
              <w:ind w:left="864" w:hanging="432"/>
              <w:rPr>
                <w:rFonts w:ascii="Verdana" w:eastAsia="Times New Roman" w:hAnsi="Verdana" w:cs="Times New Roman"/>
                <w:sz w:val="20"/>
                <w:szCs w:val="20"/>
                <w:lang w:eastAsia="es-MX"/>
              </w:rPr>
            </w:pPr>
            <w:r w:rsidRPr="00F04B81">
              <w:rPr>
                <w:rFonts w:ascii="Verdana" w:eastAsia="Times New Roman" w:hAnsi="Verdana" w:cs="Arial"/>
                <w:b/>
                <w:sz w:val="20"/>
                <w:szCs w:val="20"/>
                <w:lang w:val="es-ES" w:eastAsia="es-MX"/>
              </w:rPr>
              <w:t>c)</w:t>
            </w:r>
            <w:r w:rsidRPr="00F04B81">
              <w:rPr>
                <w:rFonts w:ascii="Verdana" w:eastAsia="Times New Roman" w:hAnsi="Verdana" w:cs="Arial"/>
                <w:b/>
                <w:sz w:val="20"/>
                <w:szCs w:val="20"/>
                <w:lang w:val="es-ES" w:eastAsia="es-MX"/>
              </w:rPr>
              <w:tab/>
            </w:r>
            <w:r w:rsidRPr="00F04B81">
              <w:rPr>
                <w:rFonts w:ascii="Verdana" w:eastAsia="Times New Roman" w:hAnsi="Verdana" w:cs="Arial"/>
                <w:sz w:val="20"/>
                <w:szCs w:val="20"/>
                <w:lang w:val="es-ES" w:eastAsia="es-MX"/>
              </w:rPr>
              <w:t>Imagen del iris, y</w:t>
            </w:r>
          </w:p>
          <w:p w:rsidR="00F04B81" w:rsidRPr="00F04B81" w:rsidRDefault="00F04B81" w:rsidP="00F04B81">
            <w:pPr>
              <w:spacing w:before="26" w:after="20" w:line="240" w:lineRule="auto"/>
              <w:ind w:left="864" w:hanging="432"/>
              <w:rPr>
                <w:rFonts w:ascii="Verdana" w:eastAsia="Times New Roman" w:hAnsi="Verdana" w:cs="Times New Roman"/>
                <w:sz w:val="20"/>
                <w:szCs w:val="20"/>
                <w:lang w:eastAsia="es-MX"/>
              </w:rPr>
            </w:pPr>
            <w:r w:rsidRPr="00F04B81">
              <w:rPr>
                <w:rFonts w:ascii="Verdana" w:eastAsia="Times New Roman" w:hAnsi="Verdana" w:cs="Arial"/>
                <w:b/>
                <w:sz w:val="20"/>
                <w:szCs w:val="20"/>
                <w:lang w:val="es-ES" w:eastAsia="es-MX"/>
              </w:rPr>
              <w:t>d)</w:t>
            </w:r>
            <w:r w:rsidRPr="00F04B81">
              <w:rPr>
                <w:rFonts w:ascii="Verdana" w:eastAsia="Times New Roman" w:hAnsi="Verdana" w:cs="Arial"/>
                <w:b/>
                <w:sz w:val="20"/>
                <w:szCs w:val="20"/>
                <w:lang w:val="es-ES" w:eastAsia="es-MX"/>
              </w:rPr>
              <w:tab/>
            </w:r>
            <w:r w:rsidRPr="00F04B81">
              <w:rPr>
                <w:rFonts w:ascii="Verdana" w:eastAsia="Times New Roman" w:hAnsi="Verdana" w:cs="Arial"/>
                <w:sz w:val="20"/>
                <w:szCs w:val="20"/>
                <w:lang w:val="es-ES" w:eastAsia="es-MX"/>
              </w:rPr>
              <w:t>Firma digital.</w:t>
            </w:r>
          </w:p>
          <w:p w:rsidR="00F04B81" w:rsidRPr="00F04B81" w:rsidRDefault="00F04B81" w:rsidP="00F04B81">
            <w:pPr>
              <w:spacing w:before="26" w:after="20" w:line="240" w:lineRule="auto"/>
              <w:ind w:left="432" w:hanging="432"/>
              <w:rPr>
                <w:rFonts w:ascii="Verdana" w:eastAsia="Times New Roman" w:hAnsi="Verdana" w:cs="Times New Roman"/>
                <w:sz w:val="20"/>
                <w:szCs w:val="20"/>
                <w:lang w:eastAsia="es-MX"/>
              </w:rPr>
            </w:pPr>
            <w:r w:rsidRPr="00F04B81">
              <w:rPr>
                <w:rFonts w:ascii="Verdana" w:eastAsia="Times New Roman" w:hAnsi="Verdana" w:cs="Arial"/>
                <w:sz w:val="20"/>
                <w:szCs w:val="20"/>
                <w:lang w:val="es-ES" w:eastAsia="es-MX"/>
              </w:rPr>
              <w:tab/>
              <w:t>En el caso de los menores de 4 años de edad se capturará únicamente el rostro.</w:t>
            </w:r>
          </w:p>
          <w:p w:rsidR="00F04B81" w:rsidRPr="00F04B81" w:rsidRDefault="00F04B81" w:rsidP="00F04B81">
            <w:pPr>
              <w:spacing w:before="26" w:after="20" w:line="240" w:lineRule="auto"/>
              <w:ind w:left="432" w:hanging="432"/>
              <w:rPr>
                <w:rFonts w:ascii="Verdana" w:eastAsia="Times New Roman" w:hAnsi="Verdana" w:cs="Times New Roman"/>
                <w:sz w:val="20"/>
                <w:szCs w:val="20"/>
                <w:lang w:eastAsia="es-MX"/>
              </w:rPr>
            </w:pPr>
            <w:r w:rsidRPr="00F04B81">
              <w:rPr>
                <w:rFonts w:ascii="Verdana" w:eastAsia="Times New Roman" w:hAnsi="Verdana" w:cs="Arial"/>
                <w:b/>
                <w:sz w:val="20"/>
                <w:szCs w:val="20"/>
                <w:lang w:val="es-ES" w:eastAsia="es-MX"/>
              </w:rPr>
              <w:t>II.</w:t>
            </w:r>
            <w:r w:rsidRPr="00F04B81">
              <w:rPr>
                <w:rFonts w:ascii="Verdana" w:eastAsia="Times New Roman" w:hAnsi="Verdana" w:cs="Arial"/>
                <w:b/>
                <w:sz w:val="20"/>
                <w:szCs w:val="20"/>
                <w:lang w:val="es-ES" w:eastAsia="es-MX"/>
              </w:rPr>
              <w:tab/>
            </w:r>
            <w:r w:rsidRPr="00F04B81">
              <w:rPr>
                <w:rFonts w:ascii="Verdana" w:eastAsia="Times New Roman" w:hAnsi="Verdana" w:cs="Arial"/>
                <w:sz w:val="20"/>
                <w:szCs w:val="20"/>
                <w:lang w:val="es-ES" w:eastAsia="es-MX"/>
              </w:rPr>
              <w:t>La autoridad migratoria verificará el cumplimiento de los requisitos, así como que la persona extranjera no se encuentre en alguno de los supuestos del artículo 43 de la Ley y emitirá la resolución que corresponda.</w:t>
            </w:r>
          </w:p>
          <w:p w:rsidR="00F04B81" w:rsidRPr="00F04B81" w:rsidRDefault="00F04B81" w:rsidP="00F04B81">
            <w:pPr>
              <w:spacing w:before="26" w:after="20" w:line="240" w:lineRule="auto"/>
              <w:ind w:left="432" w:hanging="432"/>
              <w:rPr>
                <w:rFonts w:ascii="Verdana" w:eastAsia="Times New Roman" w:hAnsi="Verdana" w:cs="Times New Roman"/>
                <w:sz w:val="20"/>
                <w:szCs w:val="20"/>
                <w:lang w:eastAsia="es-MX"/>
              </w:rPr>
            </w:pPr>
            <w:r w:rsidRPr="00F04B81">
              <w:rPr>
                <w:rFonts w:ascii="Verdana" w:eastAsia="Times New Roman" w:hAnsi="Verdana" w:cs="Arial"/>
                <w:sz w:val="20"/>
                <w:szCs w:val="20"/>
                <w:lang w:val="es-ES" w:eastAsia="es-MX"/>
              </w:rPr>
              <w:tab/>
              <w:t>Si la resolución es positiva expedirá inmediatamente la tarjeta de visitante regional, en caso contrario emitirá negativa debidamente fundada y motivada en la que se determinará el rechazo de la persona extranjera.</w:t>
            </w:r>
          </w:p>
          <w:p w:rsidR="00F04B81" w:rsidRPr="00F04B81" w:rsidRDefault="00F04B81" w:rsidP="00F04B81">
            <w:pPr>
              <w:spacing w:before="26" w:after="20" w:line="20" w:lineRule="atLeast"/>
              <w:ind w:left="432" w:hanging="432"/>
              <w:rPr>
                <w:rFonts w:ascii="Verdana" w:eastAsia="Times New Roman" w:hAnsi="Verdana" w:cs="Times New Roman"/>
                <w:sz w:val="20"/>
                <w:szCs w:val="20"/>
                <w:lang w:eastAsia="es-MX"/>
              </w:rPr>
            </w:pPr>
            <w:r w:rsidRPr="00F04B81">
              <w:rPr>
                <w:rFonts w:ascii="Verdana" w:eastAsia="Times New Roman" w:hAnsi="Verdana" w:cs="Arial"/>
                <w:b/>
                <w:sz w:val="20"/>
                <w:szCs w:val="20"/>
                <w:lang w:val="es-ES" w:eastAsia="es-MX"/>
              </w:rPr>
              <w:t>III.</w:t>
            </w:r>
            <w:r w:rsidRPr="00F04B81">
              <w:rPr>
                <w:rFonts w:ascii="Verdana" w:eastAsia="Times New Roman" w:hAnsi="Verdana" w:cs="Arial"/>
                <w:b/>
                <w:sz w:val="20"/>
                <w:szCs w:val="20"/>
                <w:lang w:val="es-ES" w:eastAsia="es-MX"/>
              </w:rPr>
              <w:tab/>
            </w:r>
            <w:r w:rsidRPr="00F04B81">
              <w:rPr>
                <w:rFonts w:ascii="Verdana" w:eastAsia="Times New Roman" w:hAnsi="Verdana" w:cs="Arial"/>
                <w:sz w:val="20"/>
                <w:szCs w:val="20"/>
                <w:lang w:val="es-ES" w:eastAsia="es-MX"/>
              </w:rPr>
              <w:t>En el caso de que se presenten intermitencias en el sistema informático que impidan continuar con el procedimiento para que la persona extranjera obtenga la condición de estancia de visitante regional, se le expedirá una constancia para que continúe con su trámite al siguiente día hábil.</w:t>
            </w:r>
          </w:p>
        </w:tc>
      </w:tr>
      <w:tr w:rsidR="00F04B81" w:rsidRPr="00F04B81" w:rsidTr="00F04B81">
        <w:trPr>
          <w:trHeight w:val="20"/>
        </w:trPr>
        <w:tc>
          <w:tcPr>
            <w:tcW w:w="8712" w:type="dxa"/>
            <w:gridSpan w:val="2"/>
            <w:tcBorders>
              <w:top w:val="single" w:sz="6" w:space="0" w:color="auto"/>
              <w:left w:val="single" w:sz="6" w:space="0" w:color="auto"/>
              <w:bottom w:val="single" w:sz="6" w:space="0" w:color="auto"/>
              <w:right w:val="single" w:sz="6" w:space="0" w:color="auto"/>
            </w:tcBorders>
            <w:hideMark/>
          </w:tcPr>
          <w:p w:rsidR="00F04B81" w:rsidRPr="00F04B81" w:rsidRDefault="00F04B81" w:rsidP="00F04B81">
            <w:pPr>
              <w:spacing w:before="26" w:after="20" w:line="240" w:lineRule="auto"/>
              <w:rPr>
                <w:rFonts w:ascii="Verdana" w:eastAsia="Times New Roman" w:hAnsi="Verdana" w:cs="Times New Roman"/>
                <w:sz w:val="20"/>
                <w:szCs w:val="20"/>
                <w:lang w:eastAsia="es-MX"/>
              </w:rPr>
            </w:pPr>
            <w:r w:rsidRPr="00F04B81">
              <w:rPr>
                <w:rFonts w:ascii="Verdana" w:eastAsia="Times New Roman" w:hAnsi="Verdana" w:cs="Arial"/>
                <w:b/>
                <w:sz w:val="20"/>
                <w:szCs w:val="20"/>
                <w:lang w:val="es-ES" w:eastAsia="es-MX"/>
              </w:rPr>
              <w:t>Información importante para el usuario:</w:t>
            </w:r>
          </w:p>
          <w:p w:rsidR="00F04B81" w:rsidRPr="00F04B81" w:rsidRDefault="00F04B81" w:rsidP="00F04B81">
            <w:pPr>
              <w:spacing w:before="26" w:after="20" w:line="240" w:lineRule="auto"/>
              <w:ind w:left="432" w:hanging="432"/>
              <w:rPr>
                <w:rFonts w:ascii="Verdana" w:eastAsia="Times New Roman" w:hAnsi="Verdana" w:cs="Times New Roman"/>
                <w:sz w:val="20"/>
                <w:szCs w:val="20"/>
                <w:lang w:eastAsia="es-MX"/>
              </w:rPr>
            </w:pPr>
            <w:r w:rsidRPr="00F04B81">
              <w:rPr>
                <w:rFonts w:ascii="Verdana" w:eastAsia="Times New Roman" w:hAnsi="Verdana" w:cs="Arial"/>
                <w:b/>
                <w:sz w:val="20"/>
                <w:szCs w:val="20"/>
                <w:lang w:val="es-ES" w:eastAsia="es-MX"/>
              </w:rPr>
              <w:t>-</w:t>
            </w:r>
            <w:r w:rsidRPr="00F04B81">
              <w:rPr>
                <w:rFonts w:ascii="Verdana" w:eastAsia="Times New Roman" w:hAnsi="Verdana" w:cs="Arial"/>
                <w:b/>
                <w:sz w:val="20"/>
                <w:szCs w:val="20"/>
                <w:lang w:val="es-ES" w:eastAsia="es-MX"/>
              </w:rPr>
              <w:tab/>
            </w:r>
            <w:r w:rsidRPr="00F04B81">
              <w:rPr>
                <w:rFonts w:ascii="Verdana" w:eastAsia="Times New Roman" w:hAnsi="Verdana" w:cs="Arial"/>
                <w:sz w:val="20"/>
                <w:szCs w:val="20"/>
                <w:lang w:val="es-ES" w:eastAsia="es-MX"/>
              </w:rPr>
              <w:t>No cuentan con permiso para realizar actividades remuneradas.</w:t>
            </w:r>
          </w:p>
          <w:p w:rsidR="00F04B81" w:rsidRPr="00F04B81" w:rsidRDefault="00F04B81" w:rsidP="00F04B81">
            <w:pPr>
              <w:spacing w:before="26" w:after="20" w:line="240" w:lineRule="auto"/>
              <w:ind w:left="432" w:hanging="432"/>
              <w:rPr>
                <w:rFonts w:ascii="Verdana" w:eastAsia="Times New Roman" w:hAnsi="Verdana" w:cs="Times New Roman"/>
                <w:sz w:val="20"/>
                <w:szCs w:val="20"/>
                <w:lang w:eastAsia="es-MX"/>
              </w:rPr>
            </w:pPr>
            <w:r w:rsidRPr="00F04B81">
              <w:rPr>
                <w:rFonts w:ascii="Verdana" w:eastAsia="Times New Roman" w:hAnsi="Verdana" w:cs="Arial"/>
                <w:b/>
                <w:sz w:val="20"/>
                <w:szCs w:val="20"/>
                <w:lang w:val="es-ES" w:eastAsia="es-MX"/>
              </w:rPr>
              <w:t>-</w:t>
            </w:r>
            <w:r w:rsidRPr="00F04B81">
              <w:rPr>
                <w:rFonts w:ascii="Verdana" w:eastAsia="Times New Roman" w:hAnsi="Verdana" w:cs="Arial"/>
                <w:b/>
                <w:sz w:val="20"/>
                <w:szCs w:val="20"/>
                <w:lang w:val="es-ES" w:eastAsia="es-MX"/>
              </w:rPr>
              <w:tab/>
            </w:r>
            <w:r w:rsidRPr="00F04B81">
              <w:rPr>
                <w:rFonts w:ascii="Verdana" w:eastAsia="Times New Roman" w:hAnsi="Verdana" w:cs="Arial"/>
                <w:sz w:val="20"/>
                <w:szCs w:val="20"/>
                <w:lang w:val="es-ES" w:eastAsia="es-MX"/>
              </w:rPr>
              <w:t>Para el caso de titulares de la tarjeta de visitante regional el registro de su ingreso al territorio nacional o su salida del mismo, así como la información estadística será recabada por medios electrónicos.</w:t>
            </w:r>
          </w:p>
          <w:p w:rsidR="00F04B81" w:rsidRPr="00F04B81" w:rsidRDefault="00F04B81" w:rsidP="00F04B81">
            <w:pPr>
              <w:spacing w:before="26" w:after="20" w:line="20" w:lineRule="atLeast"/>
              <w:ind w:left="432" w:hanging="432"/>
              <w:rPr>
                <w:rFonts w:ascii="Verdana" w:eastAsia="Times New Roman" w:hAnsi="Verdana" w:cs="Times New Roman"/>
                <w:sz w:val="20"/>
                <w:szCs w:val="20"/>
                <w:lang w:eastAsia="es-MX"/>
              </w:rPr>
            </w:pPr>
            <w:r w:rsidRPr="00F04B81">
              <w:rPr>
                <w:rFonts w:ascii="Verdana" w:eastAsia="Times New Roman" w:hAnsi="Verdana" w:cs="Arial"/>
                <w:b/>
                <w:sz w:val="20"/>
                <w:szCs w:val="20"/>
                <w:lang w:val="es-ES" w:eastAsia="es-MX"/>
              </w:rPr>
              <w:t>-</w:t>
            </w:r>
            <w:r w:rsidRPr="00F04B81">
              <w:rPr>
                <w:rFonts w:ascii="Verdana" w:eastAsia="Times New Roman" w:hAnsi="Verdana" w:cs="Arial"/>
                <w:b/>
                <w:sz w:val="20"/>
                <w:szCs w:val="20"/>
                <w:lang w:val="es-ES" w:eastAsia="es-MX"/>
              </w:rPr>
              <w:tab/>
            </w:r>
            <w:r w:rsidRPr="00F04B81">
              <w:rPr>
                <w:rFonts w:ascii="Verdana" w:eastAsia="Times New Roman" w:hAnsi="Verdana" w:cs="Arial"/>
                <w:sz w:val="20"/>
                <w:szCs w:val="20"/>
                <w:lang w:val="es-ES" w:eastAsia="es-MX"/>
              </w:rPr>
              <w:t xml:space="preserve">La autoridad migratoria podrá cancelar la condición de estancia por las causas señaladas en el artículo 133 del Reglamento. </w:t>
            </w:r>
          </w:p>
        </w:tc>
      </w:tr>
    </w:tbl>
    <w:p w:rsidR="00F04B81" w:rsidRPr="00F04B81" w:rsidRDefault="00F04B81" w:rsidP="00F04B81">
      <w:pPr>
        <w:spacing w:before="100" w:beforeAutospacing="1" w:after="100" w:afterAutospacing="1" w:line="240" w:lineRule="auto"/>
        <w:rPr>
          <w:rFonts w:ascii="Verdana" w:eastAsia="Times New Roman" w:hAnsi="Verdana" w:cs="Times New Roman"/>
          <w:sz w:val="20"/>
          <w:szCs w:val="20"/>
          <w:lang w:eastAsia="es-MX"/>
        </w:rPr>
      </w:pPr>
      <w:r w:rsidRPr="00F04B81">
        <w:rPr>
          <w:rFonts w:ascii="Verdana" w:eastAsia="Times New Roman" w:hAnsi="Verdana" w:cs="Times New Roman"/>
          <w:sz w:val="20"/>
          <w:szCs w:val="20"/>
          <w:lang w:val="es-ES_tradnl" w:eastAsia="es-MX"/>
        </w:rPr>
        <w:t> </w:t>
      </w:r>
    </w:p>
    <w:p w:rsidR="00F04B81" w:rsidRPr="00F04B81" w:rsidRDefault="00F04B81" w:rsidP="00F04B81">
      <w:pPr>
        <w:spacing w:before="100" w:beforeAutospacing="1" w:after="100" w:afterAutospacing="1" w:line="240" w:lineRule="auto"/>
        <w:rPr>
          <w:rFonts w:ascii="Verdana" w:eastAsia="Times New Roman" w:hAnsi="Verdana" w:cs="Times New Roman"/>
          <w:sz w:val="20"/>
          <w:szCs w:val="20"/>
          <w:lang w:eastAsia="es-MX"/>
        </w:rPr>
      </w:pPr>
      <w:r w:rsidRPr="00F04B81">
        <w:rPr>
          <w:rFonts w:ascii="Verdana" w:eastAsia="Times New Roman" w:hAnsi="Verdana" w:cs="Times New Roman"/>
          <w:sz w:val="20"/>
          <w:szCs w:val="20"/>
          <w:lang w:val="es-ES_tradnl" w:eastAsia="es-MX"/>
        </w:rPr>
        <w:t>TRANSITORIOS</w:t>
      </w:r>
    </w:p>
    <w:p w:rsidR="00F04B81" w:rsidRPr="00F04B81" w:rsidRDefault="00F04B81" w:rsidP="00F04B81">
      <w:pPr>
        <w:spacing w:before="100" w:beforeAutospacing="1" w:after="100" w:afterAutospacing="1" w:line="240" w:lineRule="auto"/>
        <w:rPr>
          <w:rFonts w:ascii="Verdana" w:eastAsia="Times New Roman" w:hAnsi="Verdana" w:cs="Times New Roman"/>
          <w:sz w:val="20"/>
          <w:szCs w:val="20"/>
          <w:lang w:eastAsia="es-MX"/>
        </w:rPr>
      </w:pPr>
      <w:r w:rsidRPr="00F04B81">
        <w:rPr>
          <w:rFonts w:ascii="Verdana" w:eastAsia="Times New Roman" w:hAnsi="Verdana" w:cs="Times New Roman"/>
          <w:b/>
          <w:bCs/>
          <w:sz w:val="20"/>
          <w:szCs w:val="20"/>
          <w:lang w:val="es-ES" w:eastAsia="es-MX"/>
        </w:rPr>
        <w:t xml:space="preserve">ÚNICO. </w:t>
      </w:r>
      <w:r w:rsidRPr="00F04B81">
        <w:rPr>
          <w:rFonts w:ascii="Verdana" w:eastAsia="Times New Roman" w:hAnsi="Verdana" w:cs="Times New Roman"/>
          <w:sz w:val="20"/>
          <w:szCs w:val="20"/>
          <w:lang w:val="es-ES" w:eastAsia="es-MX"/>
        </w:rPr>
        <w:t>El presente Acuerdo entrará en vigor el día siguiente al de su publicación en el Diario Oficial de la Federación.</w:t>
      </w:r>
    </w:p>
    <w:p w:rsidR="00F04B81" w:rsidRPr="00F04B81" w:rsidRDefault="00F04B81" w:rsidP="00F04B81">
      <w:pPr>
        <w:spacing w:before="100" w:beforeAutospacing="1" w:after="100" w:afterAutospacing="1" w:line="240" w:lineRule="auto"/>
        <w:rPr>
          <w:rFonts w:ascii="Verdana" w:eastAsia="Times New Roman" w:hAnsi="Verdana" w:cs="Times New Roman"/>
          <w:sz w:val="24"/>
          <w:szCs w:val="24"/>
          <w:lang w:eastAsia="es-MX"/>
        </w:rPr>
      </w:pPr>
      <w:r w:rsidRPr="00F04B81">
        <w:rPr>
          <w:rFonts w:ascii="Verdana" w:eastAsia="MS Mincho" w:hAnsi="Verdana" w:cs="Times New Roman"/>
          <w:sz w:val="20"/>
          <w:szCs w:val="20"/>
          <w:lang w:val="es-ES_tradnl" w:eastAsia="es-MX"/>
        </w:rPr>
        <w:lastRenderedPageBreak/>
        <w:t>Dado en la Ciudad de México, a</w:t>
      </w:r>
      <w:r w:rsidRPr="00F04B81">
        <w:rPr>
          <w:rFonts w:ascii="Verdana" w:eastAsia="Times New Roman" w:hAnsi="Verdana" w:cs="Times New Roman"/>
          <w:sz w:val="20"/>
          <w:szCs w:val="20"/>
          <w:lang w:val="es-ES_tradnl" w:eastAsia="es-MX"/>
        </w:rPr>
        <w:t xml:space="preserve"> los 22 días del mes de abril de dos mil diecinueve.- </w:t>
      </w:r>
      <w:r w:rsidRPr="00F04B81">
        <w:rPr>
          <w:rFonts w:ascii="Verdana" w:eastAsia="MS Mincho" w:hAnsi="Verdana" w:cs="Times New Roman"/>
          <w:sz w:val="20"/>
          <w:szCs w:val="20"/>
          <w:lang w:val="es-ES_tradnl" w:eastAsia="es-MX"/>
        </w:rPr>
        <w:t>La Secretaria</w:t>
      </w:r>
      <w:r w:rsidRPr="00F04B81">
        <w:rPr>
          <w:rFonts w:ascii="Verdana" w:eastAsia="MS Mincho" w:hAnsi="Verdana" w:cs="Times New Roman"/>
          <w:noProof/>
          <w:sz w:val="20"/>
          <w:szCs w:val="20"/>
          <w:lang w:val="es-ES_tradnl" w:eastAsia="es-MX"/>
        </w:rPr>
        <w:t xml:space="preserve">, </w:t>
      </w:r>
      <w:r w:rsidRPr="00F04B81">
        <w:rPr>
          <w:rFonts w:ascii="Verdana" w:eastAsia="MS Mincho" w:hAnsi="Verdana" w:cs="Times New Roman"/>
          <w:b/>
          <w:noProof/>
          <w:sz w:val="20"/>
          <w:szCs w:val="20"/>
          <w:lang w:val="es-ES_tradnl" w:eastAsia="es-MX"/>
        </w:rPr>
        <w:t>Olga María del Carmen Sánchez Cordero Dávila</w:t>
      </w:r>
      <w:r w:rsidRPr="00F04B81">
        <w:rPr>
          <w:rFonts w:ascii="Verdana" w:eastAsia="MS Mincho" w:hAnsi="Verdana" w:cs="Times New Roman"/>
          <w:noProof/>
          <w:sz w:val="20"/>
          <w:szCs w:val="20"/>
          <w:lang w:val="es-ES_tradnl" w:eastAsia="es-MX"/>
        </w:rPr>
        <w:t>.- Rúbrica.</w:t>
      </w:r>
    </w:p>
    <w:p w:rsidR="004A7B35" w:rsidRPr="00F04B81" w:rsidRDefault="004A7B35">
      <w:pPr>
        <w:rPr>
          <w:rFonts w:ascii="Verdana" w:hAnsi="Verdana"/>
        </w:rPr>
      </w:pPr>
    </w:p>
    <w:sectPr w:rsidR="004A7B35" w:rsidRPr="00F04B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B81"/>
    <w:rsid w:val="004A7B35"/>
    <w:rsid w:val="00F04B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F04B8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F04B8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F04B8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F04B8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F04B8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F04B8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F04B8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F04B8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375951">
      <w:bodyDiv w:val="1"/>
      <w:marLeft w:val="0"/>
      <w:marRight w:val="0"/>
      <w:marTop w:val="0"/>
      <w:marBottom w:val="0"/>
      <w:divBdr>
        <w:top w:val="none" w:sz="0" w:space="0" w:color="auto"/>
        <w:left w:val="none" w:sz="0" w:space="0" w:color="auto"/>
        <w:bottom w:val="none" w:sz="0" w:space="0" w:color="auto"/>
        <w:right w:val="none" w:sz="0" w:space="0" w:color="auto"/>
      </w:divBdr>
      <w:divsChild>
        <w:div w:id="1562598898">
          <w:marLeft w:val="0"/>
          <w:marRight w:val="0"/>
          <w:marTop w:val="0"/>
          <w:marBottom w:val="0"/>
          <w:divBdr>
            <w:top w:val="none" w:sz="0" w:space="0" w:color="auto"/>
            <w:left w:val="none" w:sz="0" w:space="0" w:color="auto"/>
            <w:bottom w:val="single" w:sz="12" w:space="1" w:color="auto"/>
            <w:right w:val="none" w:sz="0" w:space="0" w:color="auto"/>
          </w:divBdr>
        </w:div>
        <w:div w:id="609702755">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1291</Words>
  <Characters>7103</Characters>
  <Application>Microsoft Office Word</Application>
  <DocSecurity>0</DocSecurity>
  <Lines>59</Lines>
  <Paragraphs>16</Paragraphs>
  <ScaleCrop>false</ScaleCrop>
  <Company/>
  <LinksUpToDate>false</LinksUpToDate>
  <CharactersWithSpaces>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2019-04-23T17:04:00Z</dcterms:created>
  <dcterms:modified xsi:type="dcterms:W3CDTF">2019-04-23T17:06:00Z</dcterms:modified>
</cp:coreProperties>
</file>