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el artículo 74 de la Constitución Política de los Estados Unidos Mexicanos, en materia de partidas secretas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mayo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Comisión Permanente del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"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LA COMISIÓN PERMANENTE DEL HONORABLE CONGRESO DE LA UNIÓN, EN USO DE LA FACULTAD QUE LE CONFIERE EL ARTÍCULO 135 DE LA CONSTITUCIÓN POLÍTICA DE LOS ESTADOS UNIDOS MEXICANOS Y PREVIA APROBACIÓN DE LAS CÁMARAS DE DIPUTADOS Y DE SENADORES DEL CONGRESO GENERAL DE LOS ESTADOS UNIDOS MEXICANOS, ASÍ COMO LA MAYORÍA DE LAS LEGISLATURAS DE LOS ESTADOS Y DE LA CIUDAD DE MÉXICO,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DECLARA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 REFORMA EL ARTÍCULO 74 DE LA CONSTITUCIÓN POLÍTICA DE LOS ESTADOS UNIDOS MEXICANOS, EN MATERIA DE PARTIDAS SECRETAS.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reforma el párrafo cuarto de la fracción IV del artículo 74 de la Constitución Política de los Estados Unidos Mexicanos, para quedar como sigue: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74. ...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III. ...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No podrá haber partidas secretas en el Presupuesto de Egresos de la Federación.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IX. ...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6 de mayo de 2021.-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Oscar Eduardo Ramírez Aguilar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María del Carmen Almeida Navarro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Rúbricas.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14 de mayo de 2021.-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Secretaria de Gobernación, Dra.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Olga María del Carmen Sánchez Cordero Dávila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