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049" w:rsidRPr="00841D9A" w:rsidRDefault="00B96049" w:rsidP="00B96049">
      <w:pPr>
        <w:jc w:val="center"/>
        <w:rPr>
          <w:rFonts w:ascii="Verdana" w:eastAsia="Verdana" w:hAnsi="Verdana" w:cs="Verdana"/>
          <w:b/>
          <w:color w:val="0000FF"/>
          <w:sz w:val="24"/>
          <w:szCs w:val="24"/>
        </w:rPr>
      </w:pPr>
      <w:r w:rsidRPr="00B96049">
        <w:rPr>
          <w:rFonts w:ascii="Verdana" w:eastAsia="Verdana" w:hAnsi="Verdana" w:cs="Verdana"/>
          <w:b/>
          <w:color w:val="0000FF"/>
          <w:sz w:val="24"/>
          <w:szCs w:val="24"/>
        </w:rPr>
        <w:t xml:space="preserve">RESOLUCIÓN por la que se declara el inicio del procedimiento administrativo de examen de vigencia de la cuota compensatoria impuesta a las importaciones de amoxicilina </w:t>
      </w:r>
      <w:proofErr w:type="spellStart"/>
      <w:r w:rsidRPr="00B96049">
        <w:rPr>
          <w:rFonts w:ascii="Verdana" w:eastAsia="Verdana" w:hAnsi="Verdana" w:cs="Verdana"/>
          <w:b/>
          <w:color w:val="0000FF"/>
          <w:sz w:val="24"/>
          <w:szCs w:val="24"/>
        </w:rPr>
        <w:t>trihidratada</w:t>
      </w:r>
      <w:proofErr w:type="spellEnd"/>
      <w:r w:rsidRPr="00B96049">
        <w:rPr>
          <w:rFonts w:ascii="Verdana" w:eastAsia="Verdana" w:hAnsi="Verdana" w:cs="Verdana"/>
          <w:b/>
          <w:color w:val="0000FF"/>
          <w:sz w:val="24"/>
          <w:szCs w:val="24"/>
        </w:rPr>
        <w:t xml:space="preserve"> originarias de la República de la India,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24 de noviembre</w:t>
      </w:r>
      <w:r w:rsidRPr="00841D9A">
        <w:rPr>
          <w:rFonts w:ascii="Verdana" w:eastAsia="Verdana" w:hAnsi="Verdana" w:cs="Verdana"/>
          <w:b/>
          <w:color w:val="0000FF"/>
          <w:sz w:val="24"/>
          <w:szCs w:val="24"/>
        </w:rPr>
        <w:t xml:space="preserve"> de 2022)</w:t>
      </w:r>
      <w:bookmarkEnd w:id="0"/>
    </w:p>
    <w:p w:rsidR="00B96049" w:rsidRDefault="00B96049" w:rsidP="00B96049">
      <w:pPr>
        <w:jc w:val="both"/>
        <w:rPr>
          <w:rFonts w:ascii="Arial" w:hAnsi="Arial" w:cs="Arial"/>
          <w:b/>
          <w:color w:val="2F2F2F"/>
          <w:sz w:val="18"/>
          <w:szCs w:val="18"/>
          <w:shd w:val="clear" w:color="auto" w:fill="FFFFFF"/>
        </w:rPr>
      </w:pPr>
      <w:r>
        <w:rPr>
          <w:rFonts w:ascii="Arial" w:hAnsi="Arial" w:cs="Arial"/>
          <w:b/>
          <w:color w:val="2F2F2F"/>
          <w:sz w:val="18"/>
          <w:szCs w:val="18"/>
          <w:shd w:val="clear" w:color="auto" w:fill="FFFFFF"/>
        </w:rPr>
        <w:t>A</w:t>
      </w:r>
      <w:r w:rsidRPr="00792571">
        <w:rPr>
          <w:rFonts w:ascii="Arial" w:hAnsi="Arial" w:cs="Arial"/>
          <w:b/>
          <w:color w:val="2F2F2F"/>
          <w:sz w:val="18"/>
          <w:szCs w:val="18"/>
          <w:shd w:val="clear" w:color="auto" w:fill="FFFFFF"/>
        </w:rPr>
        <w:t>l margen un sello con el Escudo Nacional, que dice: Estados Unidos Mexicanos.- ECONOMÍA.- Secretaría de Economía.</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6"/>
          <w:szCs w:val="16"/>
          <w:lang w:eastAsia="es-MX"/>
        </w:rPr>
      </w:pPr>
      <w:r w:rsidRPr="00B96049">
        <w:rPr>
          <w:rFonts w:ascii="Arial" w:eastAsia="Times New Roman" w:hAnsi="Arial" w:cs="Arial"/>
          <w:color w:val="2F2F2F"/>
          <w:sz w:val="16"/>
          <w:szCs w:val="16"/>
          <w:lang w:eastAsia="es-MX"/>
        </w:rPr>
        <w:t>RESOLUCIÓN POR LA QUE SE DECLARA EL INICIO DEL PROCEDIMIENTO ADMINISTRATIVO DE EXAMEN DE VIGENCIA DE LA CUOTA COMPENSATORIA IMPUESTA A LAS IMPORTACIONES DE AMOXICILINA TRIHIDRATADA ORIGINARIAS DE LA REPÚBLICA DE LA INDIA, INDEPENDIENTEMENTE DEL PAÍS DE PROCEDENCIA.</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color w:val="2F2F2F"/>
          <w:sz w:val="18"/>
          <w:szCs w:val="18"/>
          <w:lang w:eastAsia="es-MX"/>
        </w:rPr>
        <w:t>Visto para resolver en la etapa de inicio el expediente administrativo E.C. 11/22 radicado en la Unidad de Prácticas Comerciales Internacionales (UPCI) de la Secretaría de Economía (la "Secretaría"), se emite la presente Resolución de conformidad con los siguientes</w:t>
      </w:r>
    </w:p>
    <w:p w:rsidR="00B96049" w:rsidRPr="00B96049" w:rsidRDefault="00B96049" w:rsidP="00B9604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96049">
        <w:rPr>
          <w:rFonts w:ascii="Times" w:eastAsia="Times New Roman" w:hAnsi="Times" w:cs="Times New Roman"/>
          <w:b/>
          <w:bCs/>
          <w:color w:val="2F2F2F"/>
          <w:sz w:val="18"/>
          <w:szCs w:val="18"/>
          <w:lang w:eastAsia="es-MX"/>
        </w:rPr>
        <w:t>RESULTANDOS</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A. Resolución final de la investigación antidumping</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1.</w:t>
      </w:r>
      <w:r w:rsidRPr="00B96049">
        <w:rPr>
          <w:rFonts w:ascii="Arial" w:eastAsia="Times New Roman" w:hAnsi="Arial" w:cs="Arial"/>
          <w:color w:val="2F2F2F"/>
          <w:sz w:val="18"/>
          <w:szCs w:val="18"/>
          <w:lang w:eastAsia="es-MX"/>
        </w:rPr>
        <w:t xml:space="preserve"> El 27 de noviembre de 2012 se publicó en el Diario Oficial de la Federación (DOF) la Resolución final de la investigación antidumping y </w:t>
      </w:r>
      <w:proofErr w:type="spellStart"/>
      <w:r w:rsidRPr="00B96049">
        <w:rPr>
          <w:rFonts w:ascii="Arial" w:eastAsia="Times New Roman" w:hAnsi="Arial" w:cs="Arial"/>
          <w:color w:val="2F2F2F"/>
          <w:sz w:val="18"/>
          <w:szCs w:val="18"/>
          <w:lang w:eastAsia="es-MX"/>
        </w:rPr>
        <w:t>antisubvención</w:t>
      </w:r>
      <w:proofErr w:type="spellEnd"/>
      <w:r w:rsidRPr="00B96049">
        <w:rPr>
          <w:rFonts w:ascii="Arial" w:eastAsia="Times New Roman" w:hAnsi="Arial" w:cs="Arial"/>
          <w:color w:val="2F2F2F"/>
          <w:sz w:val="18"/>
          <w:szCs w:val="18"/>
          <w:lang w:eastAsia="es-MX"/>
        </w:rPr>
        <w:t xml:space="preserve"> sobre las importaciones de amoxicilina </w:t>
      </w:r>
      <w:proofErr w:type="spellStart"/>
      <w:r w:rsidRPr="00B96049">
        <w:rPr>
          <w:rFonts w:ascii="Arial" w:eastAsia="Times New Roman" w:hAnsi="Arial" w:cs="Arial"/>
          <w:color w:val="2F2F2F"/>
          <w:sz w:val="18"/>
          <w:szCs w:val="18"/>
          <w:lang w:eastAsia="es-MX"/>
        </w:rPr>
        <w:t>trihidratada</w:t>
      </w:r>
      <w:proofErr w:type="spellEnd"/>
      <w:r w:rsidRPr="00B96049">
        <w:rPr>
          <w:rFonts w:ascii="Arial" w:eastAsia="Times New Roman" w:hAnsi="Arial" w:cs="Arial"/>
          <w:color w:val="2F2F2F"/>
          <w:sz w:val="18"/>
          <w:szCs w:val="18"/>
          <w:lang w:eastAsia="es-MX"/>
        </w:rPr>
        <w:t> ("amoxicilina") originarias de la República de la India ("India"), independientemente del país de procedencia (la "Resolución Final"). Mediante dicha Resolución, la Secretaría determinó una cuota compensatoria definitiva de 64.9%.</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B. Primer examen de vigencia</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2.</w:t>
      </w:r>
      <w:r w:rsidRPr="00B96049">
        <w:rPr>
          <w:rFonts w:ascii="Arial" w:eastAsia="Times New Roman" w:hAnsi="Arial" w:cs="Arial"/>
          <w:color w:val="2F2F2F"/>
          <w:sz w:val="18"/>
          <w:szCs w:val="18"/>
          <w:lang w:eastAsia="es-MX"/>
        </w:rPr>
        <w:t> El 30 de noviembre de 2018 se publicó en el DOF la Resolución final del primer examen de vigencia de la cuota compensatoria. Mediante dicha Resolución, la Secretaría determinó prorrogar la vigencia de la cuota compensatoria por cinco años más, contados a partir del 28 de noviembre de 2017.</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C. Aviso sobre la vigencia de cuotas compensatorias</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3.</w:t>
      </w:r>
      <w:r w:rsidRPr="00B96049">
        <w:rPr>
          <w:rFonts w:ascii="Arial" w:eastAsia="Times New Roman" w:hAnsi="Arial" w:cs="Arial"/>
          <w:color w:val="2F2F2F"/>
          <w:sz w:val="18"/>
          <w:szCs w:val="18"/>
          <w:lang w:eastAsia="es-MX"/>
        </w:rPr>
        <w:t> El 29 de noviembre de 2021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 la amoxicilina de India, objeto de este examen.</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D. Manifestación de interés</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4.</w:t>
      </w:r>
      <w:r w:rsidRPr="00B96049">
        <w:rPr>
          <w:rFonts w:ascii="Arial" w:eastAsia="Times New Roman" w:hAnsi="Arial" w:cs="Arial"/>
          <w:color w:val="2F2F2F"/>
          <w:sz w:val="18"/>
          <w:szCs w:val="18"/>
          <w:lang w:eastAsia="es-MX"/>
        </w:rPr>
        <w:t xml:space="preserve"> El 12 y 13 de octubre 2022 </w:t>
      </w:r>
      <w:proofErr w:type="spellStart"/>
      <w:r w:rsidRPr="00B96049">
        <w:rPr>
          <w:rFonts w:ascii="Arial" w:eastAsia="Times New Roman" w:hAnsi="Arial" w:cs="Arial"/>
          <w:color w:val="2F2F2F"/>
          <w:sz w:val="18"/>
          <w:szCs w:val="18"/>
          <w:lang w:eastAsia="es-MX"/>
        </w:rPr>
        <w:t>Fersinsa</w:t>
      </w:r>
      <w:proofErr w:type="spellEnd"/>
      <w:r w:rsidRPr="00B96049">
        <w:rPr>
          <w:rFonts w:ascii="Arial" w:eastAsia="Times New Roman" w:hAnsi="Arial" w:cs="Arial"/>
          <w:color w:val="2F2F2F"/>
          <w:sz w:val="18"/>
          <w:szCs w:val="18"/>
          <w:lang w:eastAsia="es-MX"/>
        </w:rPr>
        <w:t xml:space="preserve"> GB, S.A. de C.V. ("</w:t>
      </w:r>
      <w:proofErr w:type="spellStart"/>
      <w:r w:rsidRPr="00B96049">
        <w:rPr>
          <w:rFonts w:ascii="Arial" w:eastAsia="Times New Roman" w:hAnsi="Arial" w:cs="Arial"/>
          <w:color w:val="2F2F2F"/>
          <w:sz w:val="18"/>
          <w:szCs w:val="18"/>
          <w:lang w:eastAsia="es-MX"/>
        </w:rPr>
        <w:t>Fersinsa</w:t>
      </w:r>
      <w:proofErr w:type="spellEnd"/>
      <w:r w:rsidRPr="00B96049">
        <w:rPr>
          <w:rFonts w:ascii="Arial" w:eastAsia="Times New Roman" w:hAnsi="Arial" w:cs="Arial"/>
          <w:color w:val="2F2F2F"/>
          <w:sz w:val="18"/>
          <w:szCs w:val="18"/>
          <w:lang w:eastAsia="es-MX"/>
        </w:rPr>
        <w:t>"), manifestó su interés en que la Secretaría inicie el examen de vigencia de la cuota compensatoria</w:t>
      </w:r>
      <w:r w:rsidRPr="00B96049">
        <w:rPr>
          <w:rFonts w:ascii="Arial" w:eastAsia="Times New Roman" w:hAnsi="Arial" w:cs="Arial"/>
          <w:color w:val="000000"/>
          <w:sz w:val="18"/>
          <w:szCs w:val="18"/>
          <w:lang w:eastAsia="es-MX"/>
        </w:rPr>
        <w:t> </w:t>
      </w:r>
      <w:r w:rsidRPr="00B96049">
        <w:rPr>
          <w:rFonts w:ascii="Arial" w:eastAsia="Times New Roman" w:hAnsi="Arial" w:cs="Arial"/>
          <w:color w:val="2F2F2F"/>
          <w:sz w:val="18"/>
          <w:szCs w:val="18"/>
          <w:lang w:eastAsia="es-MX"/>
        </w:rPr>
        <w:t xml:space="preserve">definitiva impuesta a las importaciones de amoxicilina originarias de India. </w:t>
      </w:r>
      <w:proofErr w:type="spellStart"/>
      <w:r w:rsidRPr="00B96049">
        <w:rPr>
          <w:rFonts w:ascii="Arial" w:eastAsia="Times New Roman" w:hAnsi="Arial" w:cs="Arial"/>
          <w:color w:val="2F2F2F"/>
          <w:sz w:val="18"/>
          <w:szCs w:val="18"/>
          <w:lang w:eastAsia="es-MX"/>
        </w:rPr>
        <w:t>Fersinsa</w:t>
      </w:r>
      <w:proofErr w:type="spellEnd"/>
      <w:r w:rsidRPr="00B96049">
        <w:rPr>
          <w:rFonts w:ascii="Arial" w:eastAsia="Times New Roman" w:hAnsi="Arial" w:cs="Arial"/>
          <w:color w:val="2F2F2F"/>
          <w:sz w:val="18"/>
          <w:szCs w:val="18"/>
          <w:lang w:eastAsia="es-MX"/>
        </w:rPr>
        <w:t xml:space="preserve"> propuso como periodo de examen el comprendido del 1 de octubre de 2021 al 30 de septiembre de 2022.</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5.</w:t>
      </w:r>
      <w:r w:rsidRPr="00B96049">
        <w:rPr>
          <w:rFonts w:ascii="Arial" w:eastAsia="Times New Roman" w:hAnsi="Arial" w:cs="Arial"/>
          <w:color w:val="2F2F2F"/>
          <w:sz w:val="18"/>
          <w:szCs w:val="18"/>
          <w:lang w:eastAsia="es-MX"/>
        </w:rPr>
        <w:t> </w:t>
      </w:r>
      <w:proofErr w:type="spellStart"/>
      <w:r w:rsidRPr="00B96049">
        <w:rPr>
          <w:rFonts w:ascii="Arial" w:eastAsia="Times New Roman" w:hAnsi="Arial" w:cs="Arial"/>
          <w:color w:val="2F2F2F"/>
          <w:sz w:val="18"/>
          <w:szCs w:val="18"/>
          <w:lang w:eastAsia="es-MX"/>
        </w:rPr>
        <w:t>Fersinsa</w:t>
      </w:r>
      <w:proofErr w:type="spellEnd"/>
      <w:r w:rsidRPr="00B96049">
        <w:rPr>
          <w:rFonts w:ascii="Arial" w:eastAsia="Times New Roman" w:hAnsi="Arial" w:cs="Arial"/>
          <w:color w:val="2F2F2F"/>
          <w:sz w:val="18"/>
          <w:szCs w:val="18"/>
          <w:lang w:eastAsia="es-MX"/>
        </w:rPr>
        <w:t xml:space="preserve"> es una empresa constituida conforme a las leyes mexicanas. Su actividad principal consiste en producir todo tipo de productos químicos, biológicos y médicos, incluida la amoxicilina. Para acreditar su calidad de productor nacional de amoxicilina, presentó una carta de la Cámara Nacional de la Industria de la Transformación del 28 de septiembre de 2022, en la que se señala que </w:t>
      </w:r>
      <w:proofErr w:type="spellStart"/>
      <w:r w:rsidRPr="00B96049">
        <w:rPr>
          <w:rFonts w:ascii="Arial" w:eastAsia="Times New Roman" w:hAnsi="Arial" w:cs="Arial"/>
          <w:color w:val="2F2F2F"/>
          <w:sz w:val="18"/>
          <w:szCs w:val="18"/>
          <w:lang w:eastAsia="es-MX"/>
        </w:rPr>
        <w:t>Fersinsa</w:t>
      </w:r>
      <w:proofErr w:type="spellEnd"/>
      <w:r w:rsidRPr="00B96049">
        <w:rPr>
          <w:rFonts w:ascii="Arial" w:eastAsia="Times New Roman" w:hAnsi="Arial" w:cs="Arial"/>
          <w:color w:val="2F2F2F"/>
          <w:sz w:val="18"/>
          <w:szCs w:val="18"/>
          <w:lang w:eastAsia="es-MX"/>
        </w:rPr>
        <w:t xml:space="preserve"> es productor nacional del producto objeto de examen.</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E. Producto objeto de examen</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1. Descripción del producto</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6.</w:t>
      </w:r>
      <w:r w:rsidRPr="00B96049">
        <w:rPr>
          <w:rFonts w:ascii="Arial" w:eastAsia="Times New Roman" w:hAnsi="Arial" w:cs="Arial"/>
          <w:color w:val="2F2F2F"/>
          <w:sz w:val="18"/>
          <w:szCs w:val="18"/>
          <w:lang w:eastAsia="es-MX"/>
        </w:rPr>
        <w:t xml:space="preserve"> La amoxicilina es un antibiótico </w:t>
      </w:r>
      <w:proofErr w:type="spellStart"/>
      <w:r w:rsidRPr="00B96049">
        <w:rPr>
          <w:rFonts w:ascii="Arial" w:eastAsia="Times New Roman" w:hAnsi="Arial" w:cs="Arial"/>
          <w:color w:val="2F2F2F"/>
          <w:sz w:val="18"/>
          <w:szCs w:val="18"/>
          <w:lang w:eastAsia="es-MX"/>
        </w:rPr>
        <w:t>semisintético</w:t>
      </w:r>
      <w:proofErr w:type="spellEnd"/>
      <w:r w:rsidRPr="00B96049">
        <w:rPr>
          <w:rFonts w:ascii="Arial" w:eastAsia="Times New Roman" w:hAnsi="Arial" w:cs="Arial"/>
          <w:color w:val="2F2F2F"/>
          <w:sz w:val="18"/>
          <w:szCs w:val="18"/>
          <w:lang w:eastAsia="es-MX"/>
        </w:rPr>
        <w:t xml:space="preserve"> derivado de la penicilina (se trata de una amino penicilina) que actúa contra microorganismos. Tiene un espectro de actividad antibacteriana superior al de la penicilina.</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lastRenderedPageBreak/>
        <w:t>7.</w:t>
      </w:r>
      <w:r w:rsidRPr="00B96049">
        <w:rPr>
          <w:rFonts w:ascii="Arial" w:eastAsia="Times New Roman" w:hAnsi="Arial" w:cs="Arial"/>
          <w:color w:val="2F2F2F"/>
          <w:sz w:val="18"/>
          <w:szCs w:val="18"/>
          <w:lang w:eastAsia="es-MX"/>
        </w:rPr>
        <w:t> El nombre técnico de la amoxicilina es [2S-[2cL, 5cL, 6</w:t>
      </w:r>
      <w:r w:rsidRPr="00B96049">
        <w:rPr>
          <w:rFonts w:ascii="Symbol" w:eastAsia="Times New Roman" w:hAnsi="Symbol" w:cs="Arial"/>
          <w:color w:val="2F2F2F"/>
          <w:sz w:val="18"/>
          <w:szCs w:val="18"/>
          <w:lang w:eastAsia="es-MX"/>
        </w:rPr>
        <w:t></w:t>
      </w:r>
      <w:r w:rsidRPr="00B96049">
        <w:rPr>
          <w:rFonts w:ascii="Arial" w:eastAsia="Times New Roman" w:hAnsi="Arial" w:cs="Arial"/>
          <w:color w:val="2F2F2F"/>
          <w:sz w:val="18"/>
          <w:szCs w:val="18"/>
          <w:lang w:eastAsia="es-MX"/>
        </w:rPr>
        <w:t>S*)]]-6-(4.hydroxyfenil) acetil] aminof.3, 3. </w:t>
      </w:r>
      <w:proofErr w:type="gramStart"/>
      <w:r w:rsidRPr="00B96049">
        <w:rPr>
          <w:rFonts w:ascii="Arial" w:eastAsia="Times New Roman" w:hAnsi="Arial" w:cs="Arial"/>
          <w:color w:val="2F2F2F"/>
          <w:sz w:val="18"/>
          <w:szCs w:val="18"/>
          <w:lang w:eastAsia="es-MX"/>
        </w:rPr>
        <w:t>dimetil-7-oxo-4-thia-1-azabiciclo</w:t>
      </w:r>
      <w:proofErr w:type="gramEnd"/>
      <w:r w:rsidRPr="00B96049">
        <w:rPr>
          <w:rFonts w:ascii="Arial" w:eastAsia="Times New Roman" w:hAnsi="Arial" w:cs="Arial"/>
          <w:color w:val="2F2F2F"/>
          <w:sz w:val="18"/>
          <w:szCs w:val="18"/>
          <w:lang w:eastAsia="es-MX"/>
        </w:rPr>
        <w:t xml:space="preserve"> [3.2.0] heptano-2-carboxilatado. Su fórmula química es C16H19N3O5S.3H2O. Su estructura química esencial es el ácido 6-aminopenicilánico (6-APA), que consiste en un anillo </w:t>
      </w:r>
      <w:proofErr w:type="spellStart"/>
      <w:r w:rsidRPr="00B96049">
        <w:rPr>
          <w:rFonts w:ascii="Arial" w:eastAsia="Times New Roman" w:hAnsi="Arial" w:cs="Arial"/>
          <w:color w:val="2F2F2F"/>
          <w:sz w:val="18"/>
          <w:szCs w:val="18"/>
          <w:lang w:eastAsia="es-MX"/>
        </w:rPr>
        <w:t>tiazolidínico</w:t>
      </w:r>
      <w:proofErr w:type="spellEnd"/>
      <w:r w:rsidRPr="00B96049">
        <w:rPr>
          <w:rFonts w:ascii="Arial" w:eastAsia="Times New Roman" w:hAnsi="Arial" w:cs="Arial"/>
          <w:color w:val="2F2F2F"/>
          <w:sz w:val="18"/>
          <w:szCs w:val="18"/>
          <w:lang w:eastAsia="es-MX"/>
        </w:rPr>
        <w:t xml:space="preserve"> con un anillo </w:t>
      </w:r>
      <w:proofErr w:type="spellStart"/>
      <w:r w:rsidRPr="00B96049">
        <w:rPr>
          <w:rFonts w:ascii="Arial" w:eastAsia="Times New Roman" w:hAnsi="Arial" w:cs="Arial"/>
          <w:color w:val="2F2F2F"/>
          <w:sz w:val="18"/>
          <w:szCs w:val="18"/>
          <w:lang w:eastAsia="es-MX"/>
        </w:rPr>
        <w:t>betalactámico</w:t>
      </w:r>
      <w:proofErr w:type="spellEnd"/>
      <w:r w:rsidRPr="00B96049">
        <w:rPr>
          <w:rFonts w:ascii="Arial" w:eastAsia="Times New Roman" w:hAnsi="Arial" w:cs="Arial"/>
          <w:color w:val="2F2F2F"/>
          <w:sz w:val="18"/>
          <w:szCs w:val="18"/>
          <w:lang w:eastAsia="es-MX"/>
        </w:rPr>
        <w:t xml:space="preserve"> condensado. El 6-APA lleva una parte variable </w:t>
      </w:r>
      <w:proofErr w:type="spellStart"/>
      <w:r w:rsidRPr="00B96049">
        <w:rPr>
          <w:rFonts w:ascii="Arial" w:eastAsia="Times New Roman" w:hAnsi="Arial" w:cs="Arial"/>
          <w:color w:val="2F2F2F"/>
          <w:sz w:val="18"/>
          <w:szCs w:val="18"/>
          <w:lang w:eastAsia="es-MX"/>
        </w:rPr>
        <w:t>acilada</w:t>
      </w:r>
      <w:proofErr w:type="spellEnd"/>
      <w:r w:rsidRPr="00B96049">
        <w:rPr>
          <w:rFonts w:ascii="Arial" w:eastAsia="Times New Roman" w:hAnsi="Arial" w:cs="Arial"/>
          <w:color w:val="2F2F2F"/>
          <w:sz w:val="18"/>
          <w:szCs w:val="18"/>
          <w:lang w:eastAsia="es-MX"/>
        </w:rPr>
        <w:t xml:space="preserve"> en la posición 6 y contiene bicarbonato de sodio, </w:t>
      </w:r>
      <w:proofErr w:type="spellStart"/>
      <w:r w:rsidRPr="00B96049">
        <w:rPr>
          <w:rFonts w:ascii="Arial" w:eastAsia="Times New Roman" w:hAnsi="Arial" w:cs="Arial"/>
          <w:color w:val="2F2F2F"/>
          <w:sz w:val="18"/>
          <w:szCs w:val="18"/>
          <w:lang w:eastAsia="es-MX"/>
        </w:rPr>
        <w:t>clorocarbonato</w:t>
      </w:r>
      <w:proofErr w:type="spellEnd"/>
      <w:r w:rsidRPr="00B96049">
        <w:rPr>
          <w:rFonts w:ascii="Arial" w:eastAsia="Times New Roman" w:hAnsi="Arial" w:cs="Arial"/>
          <w:color w:val="2F2F2F"/>
          <w:sz w:val="18"/>
          <w:szCs w:val="18"/>
          <w:lang w:eastAsia="es-MX"/>
        </w:rPr>
        <w:t xml:space="preserve"> etílico, hidrógeno y ácido </w:t>
      </w:r>
      <w:proofErr w:type="spellStart"/>
      <w:r w:rsidRPr="00B96049">
        <w:rPr>
          <w:rFonts w:ascii="Arial" w:eastAsia="Times New Roman" w:hAnsi="Arial" w:cs="Arial"/>
          <w:color w:val="2F2F2F"/>
          <w:sz w:val="18"/>
          <w:szCs w:val="18"/>
          <w:lang w:eastAsia="es-MX"/>
        </w:rPr>
        <w:t>O</w:t>
      </w:r>
      <w:proofErr w:type="gramStart"/>
      <w:r w:rsidRPr="00B96049">
        <w:rPr>
          <w:rFonts w:ascii="Arial" w:eastAsia="Times New Roman" w:hAnsi="Arial" w:cs="Arial"/>
          <w:color w:val="2F2F2F"/>
          <w:sz w:val="18"/>
          <w:szCs w:val="18"/>
          <w:lang w:eastAsia="es-MX"/>
        </w:rPr>
        <w:t>,NDibenzyloxycarbonyl</w:t>
      </w:r>
      <w:proofErr w:type="spellEnd"/>
      <w:proofErr w:type="gramEnd"/>
      <w:r w:rsidRPr="00B96049">
        <w:rPr>
          <w:rFonts w:ascii="Arial" w:eastAsia="Times New Roman" w:hAnsi="Arial" w:cs="Arial"/>
          <w:color w:val="2F2F2F"/>
          <w:sz w:val="18"/>
          <w:szCs w:val="18"/>
          <w:lang w:eastAsia="es-MX"/>
        </w:rPr>
        <w:t>-p-</w:t>
      </w:r>
      <w:proofErr w:type="spellStart"/>
      <w:r w:rsidRPr="00B96049">
        <w:rPr>
          <w:rFonts w:ascii="Arial" w:eastAsia="Times New Roman" w:hAnsi="Arial" w:cs="Arial"/>
          <w:color w:val="2F2F2F"/>
          <w:sz w:val="18"/>
          <w:szCs w:val="18"/>
          <w:lang w:eastAsia="es-MX"/>
        </w:rPr>
        <w:t>oxy</w:t>
      </w:r>
      <w:proofErr w:type="spellEnd"/>
      <w:r w:rsidRPr="00B96049">
        <w:rPr>
          <w:rFonts w:ascii="Arial" w:eastAsia="Times New Roman" w:hAnsi="Arial" w:cs="Arial"/>
          <w:color w:val="2F2F2F"/>
          <w:sz w:val="18"/>
          <w:szCs w:val="18"/>
          <w:lang w:eastAsia="es-MX"/>
        </w:rPr>
        <w:t>-di-</w:t>
      </w:r>
      <w:proofErr w:type="spellStart"/>
      <w:r w:rsidRPr="00B96049">
        <w:rPr>
          <w:rFonts w:ascii="Arial" w:eastAsia="Times New Roman" w:hAnsi="Arial" w:cs="Arial"/>
          <w:color w:val="2F2F2F"/>
          <w:sz w:val="18"/>
          <w:szCs w:val="18"/>
          <w:lang w:eastAsia="es-MX"/>
        </w:rPr>
        <w:t>aminofenilacético</w:t>
      </w:r>
      <w:proofErr w:type="spellEnd"/>
      <w:r w:rsidRPr="00B96049">
        <w:rPr>
          <w:rFonts w:ascii="Arial" w:eastAsia="Times New Roman" w:hAnsi="Arial" w:cs="Arial"/>
          <w:color w:val="2F2F2F"/>
          <w:sz w:val="18"/>
          <w:szCs w:val="18"/>
          <w:lang w:eastAsia="es-MX"/>
        </w:rPr>
        <w:t xml:space="preserve">. Físicamente, se presenta como un polvo cristalino casi blanco. Es ligeramente soluble en agua, metanol y alcohol, y casi insoluble en éter </w:t>
      </w:r>
      <w:proofErr w:type="spellStart"/>
      <w:r w:rsidRPr="00B96049">
        <w:rPr>
          <w:rFonts w:ascii="Arial" w:eastAsia="Times New Roman" w:hAnsi="Arial" w:cs="Arial"/>
          <w:color w:val="2F2F2F"/>
          <w:sz w:val="18"/>
          <w:szCs w:val="18"/>
          <w:lang w:eastAsia="es-MX"/>
        </w:rPr>
        <w:t>dietílico</w:t>
      </w:r>
      <w:proofErr w:type="spellEnd"/>
      <w:r w:rsidRPr="00B96049">
        <w:rPr>
          <w:rFonts w:ascii="Arial" w:eastAsia="Times New Roman" w:hAnsi="Arial" w:cs="Arial"/>
          <w:color w:val="2F2F2F"/>
          <w:sz w:val="18"/>
          <w:szCs w:val="18"/>
          <w:lang w:eastAsia="es-MX"/>
        </w:rPr>
        <w:t xml:space="preserve"> y ácidos grasos.</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8.</w:t>
      </w:r>
      <w:r w:rsidRPr="00B96049">
        <w:rPr>
          <w:rFonts w:ascii="Arial" w:eastAsia="Times New Roman" w:hAnsi="Arial" w:cs="Arial"/>
          <w:color w:val="2F2F2F"/>
          <w:sz w:val="18"/>
          <w:szCs w:val="18"/>
          <w:lang w:eastAsia="es-MX"/>
        </w:rPr>
        <w:t> La amoxicilina se comercializa en dos presentaciones: como producto estéril y no estéril.</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2. Tratamiento arancelario</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9.</w:t>
      </w:r>
      <w:r w:rsidRPr="00B96049">
        <w:rPr>
          <w:rFonts w:ascii="Arial" w:eastAsia="Times New Roman" w:hAnsi="Arial" w:cs="Arial"/>
          <w:color w:val="2F2F2F"/>
          <w:sz w:val="18"/>
          <w:szCs w:val="18"/>
          <w:lang w:eastAsia="es-MX"/>
        </w:rPr>
        <w:t> El producto objeto de examen ingresa al mercado nacional a través de la fracción arancelaria 2941.10.12 de la de la Tarifa de la Ley de los Impuestos Generales de Importación y de Exportación (TIGIE), cuya descripción es la siguiente:</w:t>
      </w:r>
    </w:p>
    <w:tbl>
      <w:tblPr>
        <w:tblW w:w="0" w:type="auto"/>
        <w:tblCellMar>
          <w:top w:w="15" w:type="dxa"/>
          <w:left w:w="15" w:type="dxa"/>
          <w:bottom w:w="15" w:type="dxa"/>
          <w:right w:w="15" w:type="dxa"/>
        </w:tblCellMar>
        <w:tblLook w:val="04A0" w:firstRow="1" w:lastRow="0" w:firstColumn="1" w:lastColumn="0" w:noHBand="0" w:noVBand="1"/>
      </w:tblPr>
      <w:tblGrid>
        <w:gridCol w:w="2014"/>
        <w:gridCol w:w="5752"/>
      </w:tblGrid>
      <w:tr w:rsidR="00B96049" w:rsidRPr="00B96049" w:rsidTr="00B96049">
        <w:trPr>
          <w:trHeight w:val="575"/>
        </w:trPr>
        <w:tc>
          <w:tcPr>
            <w:tcW w:w="2014"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96049" w:rsidRPr="00B96049" w:rsidRDefault="00B96049" w:rsidP="00B96049">
            <w:pPr>
              <w:spacing w:after="101" w:line="240" w:lineRule="auto"/>
              <w:jc w:val="center"/>
              <w:rPr>
                <w:rFonts w:ascii="Times New Roman" w:eastAsia="Times New Roman" w:hAnsi="Times New Roman" w:cs="Times New Roman"/>
                <w:color w:val="000000"/>
                <w:sz w:val="18"/>
                <w:szCs w:val="18"/>
                <w:lang w:eastAsia="es-MX"/>
              </w:rPr>
            </w:pPr>
            <w:r w:rsidRPr="00B96049">
              <w:rPr>
                <w:rFonts w:ascii="Arial" w:eastAsia="Times New Roman" w:hAnsi="Arial" w:cs="Arial"/>
                <w:b/>
                <w:bCs/>
                <w:color w:val="000000"/>
                <w:sz w:val="18"/>
                <w:szCs w:val="18"/>
                <w:lang w:eastAsia="es-MX"/>
              </w:rPr>
              <w:t>Codificación</w:t>
            </w:r>
            <w:r w:rsidRPr="00B96049">
              <w:rPr>
                <w:rFonts w:ascii="Times New Roman" w:eastAsia="Times New Roman" w:hAnsi="Times New Roman" w:cs="Times New Roman"/>
                <w:color w:val="000000"/>
                <w:sz w:val="18"/>
                <w:szCs w:val="18"/>
                <w:lang w:eastAsia="es-MX"/>
              </w:rPr>
              <w:br/>
            </w:r>
            <w:r w:rsidRPr="00B96049">
              <w:rPr>
                <w:rFonts w:ascii="Arial" w:eastAsia="Times New Roman" w:hAnsi="Arial" w:cs="Arial"/>
                <w:b/>
                <w:bCs/>
                <w:color w:val="000000"/>
                <w:sz w:val="18"/>
                <w:szCs w:val="18"/>
                <w:lang w:eastAsia="es-MX"/>
              </w:rPr>
              <w:t>arancelaria</w:t>
            </w:r>
          </w:p>
        </w:tc>
        <w:tc>
          <w:tcPr>
            <w:tcW w:w="57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96049" w:rsidRPr="00B96049" w:rsidRDefault="00B96049" w:rsidP="00B96049">
            <w:pPr>
              <w:spacing w:after="101" w:line="240" w:lineRule="auto"/>
              <w:jc w:val="center"/>
              <w:rPr>
                <w:rFonts w:ascii="Times New Roman" w:eastAsia="Times New Roman" w:hAnsi="Times New Roman" w:cs="Times New Roman"/>
                <w:color w:val="000000"/>
                <w:sz w:val="18"/>
                <w:szCs w:val="18"/>
                <w:lang w:eastAsia="es-MX"/>
              </w:rPr>
            </w:pPr>
            <w:r w:rsidRPr="00B96049">
              <w:rPr>
                <w:rFonts w:ascii="Arial" w:eastAsia="Times New Roman" w:hAnsi="Arial" w:cs="Arial"/>
                <w:b/>
                <w:bCs/>
                <w:color w:val="000000"/>
                <w:sz w:val="18"/>
                <w:szCs w:val="18"/>
                <w:lang w:eastAsia="es-MX"/>
              </w:rPr>
              <w:t>Descripción</w:t>
            </w:r>
          </w:p>
        </w:tc>
      </w:tr>
      <w:tr w:rsidR="00B96049" w:rsidRPr="00B96049" w:rsidTr="00B96049">
        <w:trPr>
          <w:trHeight w:val="408"/>
        </w:trPr>
        <w:tc>
          <w:tcPr>
            <w:tcW w:w="2014" w:type="dxa"/>
            <w:tcBorders>
              <w:top w:val="single" w:sz="6" w:space="0" w:color="000000"/>
              <w:bottom w:val="single" w:sz="6" w:space="0" w:color="000000"/>
            </w:tcBorders>
            <w:tcMar>
              <w:top w:w="15" w:type="dxa"/>
              <w:left w:w="70" w:type="dxa"/>
              <w:bottom w:w="15" w:type="dxa"/>
              <w:right w:w="70" w:type="dxa"/>
            </w:tcMar>
            <w:hideMark/>
          </w:tcPr>
          <w:p w:rsidR="00B96049" w:rsidRPr="00B96049" w:rsidRDefault="00B96049" w:rsidP="00B96049">
            <w:pPr>
              <w:spacing w:after="101" w:line="240" w:lineRule="auto"/>
              <w:jc w:val="both"/>
              <w:rPr>
                <w:rFonts w:ascii="Times New Roman" w:eastAsia="Times New Roman" w:hAnsi="Times New Roman" w:cs="Times New Roman"/>
                <w:color w:val="000000"/>
                <w:sz w:val="18"/>
                <w:szCs w:val="18"/>
                <w:lang w:eastAsia="es-MX"/>
              </w:rPr>
            </w:pPr>
            <w:r w:rsidRPr="00B96049">
              <w:rPr>
                <w:rFonts w:ascii="Arial" w:eastAsia="Times New Roman" w:hAnsi="Arial" w:cs="Arial"/>
                <w:color w:val="000000"/>
                <w:sz w:val="18"/>
                <w:szCs w:val="18"/>
                <w:lang w:eastAsia="es-MX"/>
              </w:rPr>
              <w:t>Capítulo 29</w:t>
            </w:r>
          </w:p>
        </w:tc>
        <w:tc>
          <w:tcPr>
            <w:tcW w:w="5752" w:type="dxa"/>
            <w:tcBorders>
              <w:top w:val="single" w:sz="6" w:space="0" w:color="000000"/>
              <w:bottom w:val="single" w:sz="6" w:space="0" w:color="000000"/>
            </w:tcBorders>
            <w:tcMar>
              <w:top w:w="15" w:type="dxa"/>
              <w:left w:w="70" w:type="dxa"/>
              <w:bottom w:w="15" w:type="dxa"/>
              <w:right w:w="70" w:type="dxa"/>
            </w:tcMar>
            <w:hideMark/>
          </w:tcPr>
          <w:p w:rsidR="00B96049" w:rsidRPr="00B96049" w:rsidRDefault="00B96049" w:rsidP="00B96049">
            <w:pPr>
              <w:spacing w:after="101" w:line="240" w:lineRule="auto"/>
              <w:jc w:val="both"/>
              <w:rPr>
                <w:rFonts w:ascii="Times New Roman" w:eastAsia="Times New Roman" w:hAnsi="Times New Roman" w:cs="Times New Roman"/>
                <w:color w:val="000000"/>
                <w:sz w:val="18"/>
                <w:szCs w:val="18"/>
                <w:lang w:eastAsia="es-MX"/>
              </w:rPr>
            </w:pPr>
            <w:r w:rsidRPr="00B96049">
              <w:rPr>
                <w:rFonts w:ascii="Arial" w:eastAsia="Times New Roman" w:hAnsi="Arial" w:cs="Arial"/>
                <w:color w:val="000000"/>
                <w:sz w:val="18"/>
                <w:szCs w:val="18"/>
                <w:lang w:eastAsia="es-MX"/>
              </w:rPr>
              <w:t>Productos químicos orgánicos.</w:t>
            </w:r>
          </w:p>
        </w:tc>
      </w:tr>
      <w:tr w:rsidR="00B96049" w:rsidRPr="00B96049" w:rsidTr="00B96049">
        <w:trPr>
          <w:trHeight w:val="408"/>
        </w:trPr>
        <w:tc>
          <w:tcPr>
            <w:tcW w:w="2014" w:type="dxa"/>
            <w:tcBorders>
              <w:top w:val="single" w:sz="6" w:space="0" w:color="000000"/>
              <w:bottom w:val="single" w:sz="6" w:space="0" w:color="000000"/>
            </w:tcBorders>
            <w:tcMar>
              <w:top w:w="15" w:type="dxa"/>
              <w:left w:w="70" w:type="dxa"/>
              <w:bottom w:w="15" w:type="dxa"/>
              <w:right w:w="70" w:type="dxa"/>
            </w:tcMar>
            <w:hideMark/>
          </w:tcPr>
          <w:p w:rsidR="00B96049" w:rsidRPr="00B96049" w:rsidRDefault="00B96049" w:rsidP="00B96049">
            <w:pPr>
              <w:spacing w:after="101" w:line="240" w:lineRule="auto"/>
              <w:jc w:val="both"/>
              <w:rPr>
                <w:rFonts w:ascii="Times New Roman" w:eastAsia="Times New Roman" w:hAnsi="Times New Roman" w:cs="Times New Roman"/>
                <w:color w:val="000000"/>
                <w:sz w:val="18"/>
                <w:szCs w:val="18"/>
                <w:lang w:eastAsia="es-MX"/>
              </w:rPr>
            </w:pPr>
            <w:r w:rsidRPr="00B96049">
              <w:rPr>
                <w:rFonts w:ascii="Arial" w:eastAsia="Times New Roman" w:hAnsi="Arial" w:cs="Arial"/>
                <w:color w:val="000000"/>
                <w:sz w:val="18"/>
                <w:szCs w:val="18"/>
                <w:lang w:eastAsia="es-MX"/>
              </w:rPr>
              <w:t>Partida 2941</w:t>
            </w:r>
          </w:p>
        </w:tc>
        <w:tc>
          <w:tcPr>
            <w:tcW w:w="5752" w:type="dxa"/>
            <w:tcBorders>
              <w:top w:val="single" w:sz="6" w:space="0" w:color="000000"/>
              <w:bottom w:val="single" w:sz="6" w:space="0" w:color="000000"/>
            </w:tcBorders>
            <w:tcMar>
              <w:top w:w="15" w:type="dxa"/>
              <w:left w:w="70" w:type="dxa"/>
              <w:bottom w:w="15" w:type="dxa"/>
              <w:right w:w="70" w:type="dxa"/>
            </w:tcMar>
            <w:hideMark/>
          </w:tcPr>
          <w:p w:rsidR="00B96049" w:rsidRPr="00B96049" w:rsidRDefault="00B96049" w:rsidP="00B96049">
            <w:pPr>
              <w:spacing w:after="101" w:line="240" w:lineRule="auto"/>
              <w:jc w:val="both"/>
              <w:rPr>
                <w:rFonts w:ascii="Times New Roman" w:eastAsia="Times New Roman" w:hAnsi="Times New Roman" w:cs="Times New Roman"/>
                <w:color w:val="000000"/>
                <w:sz w:val="18"/>
                <w:szCs w:val="18"/>
                <w:lang w:eastAsia="es-MX"/>
              </w:rPr>
            </w:pPr>
            <w:r w:rsidRPr="00B96049">
              <w:rPr>
                <w:rFonts w:ascii="Arial" w:eastAsia="Times New Roman" w:hAnsi="Arial" w:cs="Arial"/>
                <w:color w:val="000000"/>
                <w:sz w:val="18"/>
                <w:szCs w:val="18"/>
                <w:lang w:eastAsia="es-MX"/>
              </w:rPr>
              <w:t>Antibióticos.</w:t>
            </w:r>
          </w:p>
        </w:tc>
      </w:tr>
      <w:tr w:rsidR="00B96049" w:rsidRPr="00B96049" w:rsidTr="00B96049">
        <w:trPr>
          <w:trHeight w:val="576"/>
        </w:trPr>
        <w:tc>
          <w:tcPr>
            <w:tcW w:w="2014" w:type="dxa"/>
            <w:tcBorders>
              <w:top w:val="single" w:sz="6" w:space="0" w:color="000000"/>
              <w:bottom w:val="single" w:sz="6" w:space="0" w:color="000000"/>
            </w:tcBorders>
            <w:tcMar>
              <w:top w:w="15" w:type="dxa"/>
              <w:left w:w="70" w:type="dxa"/>
              <w:bottom w:w="15" w:type="dxa"/>
              <w:right w:w="70" w:type="dxa"/>
            </w:tcMar>
            <w:hideMark/>
          </w:tcPr>
          <w:p w:rsidR="00B96049" w:rsidRPr="00B96049" w:rsidRDefault="00B96049" w:rsidP="00B96049">
            <w:pPr>
              <w:spacing w:after="101" w:line="240" w:lineRule="auto"/>
              <w:jc w:val="both"/>
              <w:rPr>
                <w:rFonts w:ascii="Times New Roman" w:eastAsia="Times New Roman" w:hAnsi="Times New Roman" w:cs="Times New Roman"/>
                <w:color w:val="000000"/>
                <w:sz w:val="18"/>
                <w:szCs w:val="18"/>
                <w:lang w:eastAsia="es-MX"/>
              </w:rPr>
            </w:pPr>
            <w:proofErr w:type="spellStart"/>
            <w:r w:rsidRPr="00B96049">
              <w:rPr>
                <w:rFonts w:ascii="Arial" w:eastAsia="Times New Roman" w:hAnsi="Arial" w:cs="Arial"/>
                <w:color w:val="000000"/>
                <w:sz w:val="18"/>
                <w:szCs w:val="18"/>
                <w:lang w:eastAsia="es-MX"/>
              </w:rPr>
              <w:t>Subpartida</w:t>
            </w:r>
            <w:proofErr w:type="spellEnd"/>
            <w:r w:rsidRPr="00B96049">
              <w:rPr>
                <w:rFonts w:ascii="Arial" w:eastAsia="Times New Roman" w:hAnsi="Arial" w:cs="Arial"/>
                <w:color w:val="000000"/>
                <w:sz w:val="18"/>
                <w:szCs w:val="18"/>
                <w:lang w:eastAsia="es-MX"/>
              </w:rPr>
              <w:t xml:space="preserve"> 2941.10</w:t>
            </w:r>
          </w:p>
        </w:tc>
        <w:tc>
          <w:tcPr>
            <w:tcW w:w="5752" w:type="dxa"/>
            <w:tcBorders>
              <w:top w:val="single" w:sz="6" w:space="0" w:color="000000"/>
              <w:bottom w:val="single" w:sz="6" w:space="0" w:color="000000"/>
            </w:tcBorders>
            <w:tcMar>
              <w:top w:w="15" w:type="dxa"/>
              <w:left w:w="70" w:type="dxa"/>
              <w:bottom w:w="15" w:type="dxa"/>
              <w:right w:w="70" w:type="dxa"/>
            </w:tcMar>
            <w:hideMark/>
          </w:tcPr>
          <w:p w:rsidR="00B96049" w:rsidRPr="00B96049" w:rsidRDefault="00B96049" w:rsidP="00B96049">
            <w:pPr>
              <w:spacing w:after="101" w:line="240" w:lineRule="auto"/>
              <w:jc w:val="both"/>
              <w:rPr>
                <w:rFonts w:ascii="Times New Roman" w:eastAsia="Times New Roman" w:hAnsi="Times New Roman" w:cs="Times New Roman"/>
                <w:color w:val="000000"/>
                <w:sz w:val="18"/>
                <w:szCs w:val="18"/>
                <w:lang w:eastAsia="es-MX"/>
              </w:rPr>
            </w:pPr>
            <w:r w:rsidRPr="00B96049">
              <w:rPr>
                <w:rFonts w:ascii="Arial" w:eastAsia="Times New Roman" w:hAnsi="Arial" w:cs="Arial"/>
                <w:color w:val="000000"/>
                <w:sz w:val="18"/>
                <w:szCs w:val="18"/>
                <w:lang w:eastAsia="es-MX"/>
              </w:rPr>
              <w:t xml:space="preserve">--Penicilinas y sus derivados con la estructura del ácido </w:t>
            </w:r>
            <w:proofErr w:type="spellStart"/>
            <w:r w:rsidRPr="00B96049">
              <w:rPr>
                <w:rFonts w:ascii="Arial" w:eastAsia="Times New Roman" w:hAnsi="Arial" w:cs="Arial"/>
                <w:color w:val="000000"/>
                <w:sz w:val="18"/>
                <w:szCs w:val="18"/>
                <w:lang w:eastAsia="es-MX"/>
              </w:rPr>
              <w:t>penicilánico</w:t>
            </w:r>
            <w:proofErr w:type="spellEnd"/>
            <w:r w:rsidRPr="00B96049">
              <w:rPr>
                <w:rFonts w:ascii="Arial" w:eastAsia="Times New Roman" w:hAnsi="Arial" w:cs="Arial"/>
                <w:color w:val="000000"/>
                <w:sz w:val="18"/>
                <w:szCs w:val="18"/>
                <w:lang w:eastAsia="es-MX"/>
              </w:rPr>
              <w:t>; sales de esos productos.</w:t>
            </w:r>
          </w:p>
        </w:tc>
      </w:tr>
      <w:tr w:rsidR="00B96049" w:rsidRPr="00B96049" w:rsidTr="00B96049">
        <w:trPr>
          <w:trHeight w:val="342"/>
        </w:trPr>
        <w:tc>
          <w:tcPr>
            <w:tcW w:w="2014"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B96049" w:rsidRPr="00B96049" w:rsidRDefault="00B96049" w:rsidP="00B96049">
            <w:pPr>
              <w:spacing w:after="101" w:line="240" w:lineRule="auto"/>
              <w:jc w:val="both"/>
              <w:rPr>
                <w:rFonts w:ascii="Times New Roman" w:eastAsia="Times New Roman" w:hAnsi="Times New Roman" w:cs="Times New Roman"/>
                <w:color w:val="000000"/>
                <w:sz w:val="18"/>
                <w:szCs w:val="18"/>
                <w:lang w:eastAsia="es-MX"/>
              </w:rPr>
            </w:pPr>
            <w:r w:rsidRPr="00B96049">
              <w:rPr>
                <w:rFonts w:ascii="Arial" w:eastAsia="Times New Roman" w:hAnsi="Arial" w:cs="Arial"/>
                <w:color w:val="000000"/>
                <w:sz w:val="18"/>
                <w:szCs w:val="18"/>
                <w:lang w:eastAsia="es-MX"/>
              </w:rPr>
              <w:t>Fracción 2941.10.12</w:t>
            </w:r>
          </w:p>
        </w:tc>
        <w:tc>
          <w:tcPr>
            <w:tcW w:w="5752"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B96049" w:rsidRPr="00B96049" w:rsidRDefault="00B96049" w:rsidP="00B96049">
            <w:pPr>
              <w:spacing w:after="101" w:line="240" w:lineRule="auto"/>
              <w:jc w:val="both"/>
              <w:rPr>
                <w:rFonts w:ascii="Times New Roman" w:eastAsia="Times New Roman" w:hAnsi="Times New Roman" w:cs="Times New Roman"/>
                <w:color w:val="000000"/>
                <w:sz w:val="18"/>
                <w:szCs w:val="18"/>
                <w:lang w:eastAsia="es-MX"/>
              </w:rPr>
            </w:pPr>
            <w:r w:rsidRPr="00B96049">
              <w:rPr>
                <w:rFonts w:ascii="Arial" w:eastAsia="Times New Roman" w:hAnsi="Arial" w:cs="Arial"/>
                <w:color w:val="000000"/>
                <w:sz w:val="18"/>
                <w:szCs w:val="18"/>
                <w:lang w:eastAsia="es-MX"/>
              </w:rPr>
              <w:t xml:space="preserve">Amoxicilina </w:t>
            </w:r>
            <w:proofErr w:type="spellStart"/>
            <w:r w:rsidRPr="00B96049">
              <w:rPr>
                <w:rFonts w:ascii="Arial" w:eastAsia="Times New Roman" w:hAnsi="Arial" w:cs="Arial"/>
                <w:color w:val="000000"/>
                <w:sz w:val="18"/>
                <w:szCs w:val="18"/>
                <w:lang w:eastAsia="es-MX"/>
              </w:rPr>
              <w:t>trihidratada</w:t>
            </w:r>
            <w:proofErr w:type="spellEnd"/>
            <w:r w:rsidRPr="00B96049">
              <w:rPr>
                <w:rFonts w:ascii="Arial" w:eastAsia="Times New Roman" w:hAnsi="Arial" w:cs="Arial"/>
                <w:color w:val="000000"/>
                <w:sz w:val="18"/>
                <w:szCs w:val="18"/>
                <w:lang w:eastAsia="es-MX"/>
              </w:rPr>
              <w:t>.</w:t>
            </w:r>
          </w:p>
        </w:tc>
      </w:tr>
      <w:tr w:rsidR="00B96049" w:rsidRPr="00B96049" w:rsidTr="00B96049">
        <w:trPr>
          <w:trHeight w:val="349"/>
        </w:trPr>
        <w:tc>
          <w:tcPr>
            <w:tcW w:w="2014"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B96049" w:rsidRPr="00B96049" w:rsidRDefault="00B96049" w:rsidP="00B96049">
            <w:pPr>
              <w:spacing w:after="101" w:line="240" w:lineRule="auto"/>
              <w:jc w:val="both"/>
              <w:rPr>
                <w:rFonts w:ascii="Times New Roman" w:eastAsia="Times New Roman" w:hAnsi="Times New Roman" w:cs="Times New Roman"/>
                <w:color w:val="000000"/>
                <w:sz w:val="18"/>
                <w:szCs w:val="18"/>
                <w:lang w:eastAsia="es-MX"/>
              </w:rPr>
            </w:pPr>
            <w:r w:rsidRPr="00B96049">
              <w:rPr>
                <w:rFonts w:ascii="Arial" w:eastAsia="Times New Roman" w:hAnsi="Arial" w:cs="Arial"/>
                <w:color w:val="000000"/>
                <w:sz w:val="18"/>
                <w:szCs w:val="18"/>
                <w:lang w:eastAsia="es-MX"/>
              </w:rPr>
              <w:t>NICO 00</w:t>
            </w:r>
          </w:p>
        </w:tc>
        <w:tc>
          <w:tcPr>
            <w:tcW w:w="5752"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B96049" w:rsidRPr="00B96049" w:rsidRDefault="00B96049" w:rsidP="00B96049">
            <w:pPr>
              <w:spacing w:after="101" w:line="240" w:lineRule="auto"/>
              <w:jc w:val="both"/>
              <w:rPr>
                <w:rFonts w:ascii="Times New Roman" w:eastAsia="Times New Roman" w:hAnsi="Times New Roman" w:cs="Times New Roman"/>
                <w:color w:val="000000"/>
                <w:sz w:val="18"/>
                <w:szCs w:val="18"/>
                <w:lang w:eastAsia="es-MX"/>
              </w:rPr>
            </w:pPr>
            <w:r w:rsidRPr="00B96049">
              <w:rPr>
                <w:rFonts w:ascii="Arial" w:eastAsia="Times New Roman" w:hAnsi="Arial" w:cs="Arial"/>
                <w:color w:val="000000"/>
                <w:sz w:val="18"/>
                <w:szCs w:val="18"/>
                <w:lang w:eastAsia="es-MX"/>
              </w:rPr>
              <w:t xml:space="preserve">Amoxicilina </w:t>
            </w:r>
            <w:proofErr w:type="spellStart"/>
            <w:r w:rsidRPr="00B96049">
              <w:rPr>
                <w:rFonts w:ascii="Arial" w:eastAsia="Times New Roman" w:hAnsi="Arial" w:cs="Arial"/>
                <w:color w:val="000000"/>
                <w:sz w:val="18"/>
                <w:szCs w:val="18"/>
                <w:lang w:eastAsia="es-MX"/>
              </w:rPr>
              <w:t>trihidratada</w:t>
            </w:r>
            <w:proofErr w:type="spellEnd"/>
            <w:r w:rsidRPr="00B96049">
              <w:rPr>
                <w:rFonts w:ascii="Arial" w:eastAsia="Times New Roman" w:hAnsi="Arial" w:cs="Arial"/>
                <w:color w:val="000000"/>
                <w:sz w:val="18"/>
                <w:szCs w:val="18"/>
                <w:lang w:eastAsia="es-MX"/>
              </w:rPr>
              <w:t>.</w:t>
            </w:r>
          </w:p>
        </w:tc>
      </w:tr>
    </w:tbl>
    <w:p w:rsidR="00B96049" w:rsidRPr="00B96049" w:rsidRDefault="00B96049" w:rsidP="00B96049">
      <w:pPr>
        <w:shd w:val="clear" w:color="auto" w:fill="FFFFFF"/>
        <w:spacing w:after="101" w:line="240" w:lineRule="auto"/>
        <w:jc w:val="both"/>
        <w:rPr>
          <w:rFonts w:ascii="Arial" w:eastAsia="Times New Roman" w:hAnsi="Arial" w:cs="Arial"/>
          <w:color w:val="2F2F2F"/>
          <w:sz w:val="16"/>
          <w:szCs w:val="16"/>
          <w:lang w:eastAsia="es-MX"/>
        </w:rPr>
      </w:pPr>
      <w:r w:rsidRPr="00B96049">
        <w:rPr>
          <w:rFonts w:ascii="Arial" w:eastAsia="Times New Roman" w:hAnsi="Arial" w:cs="Arial"/>
          <w:color w:val="2F2F2F"/>
          <w:sz w:val="16"/>
          <w:szCs w:val="16"/>
          <w:lang w:eastAsia="es-MX"/>
        </w:rPr>
        <w:t>Fuente: Decreto por el que se expide la Ley de los Impuestos Generales de Importación y de Exportación, y se reforman y adicionan diversas disposiciones de la Ley Aduanera, publicado en el DOF el 01 de julio de 2020, y el Acuerdo por el que se dan a conocer los Números de Identificación Comercial (NICO) y sus tablas de correlación, publicado en el DOF el 17 de noviembre de 2020.</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10.</w:t>
      </w:r>
      <w:r w:rsidRPr="00B96049">
        <w:rPr>
          <w:rFonts w:ascii="Arial" w:eastAsia="Times New Roman" w:hAnsi="Arial" w:cs="Arial"/>
          <w:color w:val="2F2F2F"/>
          <w:sz w:val="18"/>
          <w:szCs w:val="18"/>
          <w:lang w:eastAsia="es-MX"/>
        </w:rPr>
        <w:t> La unidad de medida que utiliza la TIGIE es el kilogramo.</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11.</w:t>
      </w:r>
      <w:r w:rsidRPr="00B96049">
        <w:rPr>
          <w:rFonts w:ascii="Arial" w:eastAsia="Times New Roman" w:hAnsi="Arial" w:cs="Arial"/>
          <w:color w:val="2F2F2F"/>
          <w:sz w:val="18"/>
          <w:szCs w:val="18"/>
          <w:lang w:eastAsia="es-MX"/>
        </w:rPr>
        <w:t xml:space="preserve"> De acuerdo con el "Decreto por el que se expide la Ley de los Impuestos Generales de Importación y de Exportación, y se reforman y adicionan diversas disposiciones de la Ley Aduanera" publicado en el DOF el 1 de julio de 2020, las importaciones que ingresan por la fracción arancelaria 2941.10.12 de la TIGIE están sujetas a un arancel ad </w:t>
      </w:r>
      <w:proofErr w:type="spellStart"/>
      <w:r w:rsidRPr="00B96049">
        <w:rPr>
          <w:rFonts w:ascii="Arial" w:eastAsia="Times New Roman" w:hAnsi="Arial" w:cs="Arial"/>
          <w:color w:val="2F2F2F"/>
          <w:sz w:val="18"/>
          <w:szCs w:val="18"/>
          <w:lang w:eastAsia="es-MX"/>
        </w:rPr>
        <w:t>valorem</w:t>
      </w:r>
      <w:proofErr w:type="spellEnd"/>
      <w:r w:rsidRPr="00B96049">
        <w:rPr>
          <w:rFonts w:ascii="Arial" w:eastAsia="Times New Roman" w:hAnsi="Arial" w:cs="Arial"/>
          <w:color w:val="2F2F2F"/>
          <w:sz w:val="18"/>
          <w:szCs w:val="18"/>
          <w:lang w:eastAsia="es-MX"/>
        </w:rPr>
        <w:t xml:space="preserve"> de 5%, y los países con los que México tiene celebrados tratados de libre comercio están exentos de arancel.</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3. Proceso productivo</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12.</w:t>
      </w:r>
      <w:r w:rsidRPr="00B96049">
        <w:rPr>
          <w:rFonts w:ascii="Arial" w:eastAsia="Times New Roman" w:hAnsi="Arial" w:cs="Arial"/>
          <w:color w:val="2F2F2F"/>
          <w:sz w:val="18"/>
          <w:szCs w:val="18"/>
          <w:lang w:eastAsia="es-MX"/>
        </w:rPr>
        <w:t xml:space="preserve"> El proceso de producción de la amoxicilina en el mundo, se lleva a cabo con base en el proceso que la empresa Bristol-Myers Company registró en 1976, patente que ya expiró, por lo que actualmente está disponible para cualquier empresa. Inicia con la elaboración de la sal de 6-APA-Trietilamina que se une al anhídrido mixto formando la amoxicilina-Sal de </w:t>
      </w:r>
      <w:proofErr w:type="spellStart"/>
      <w:r w:rsidRPr="00B96049">
        <w:rPr>
          <w:rFonts w:ascii="Arial" w:eastAsia="Times New Roman" w:hAnsi="Arial" w:cs="Arial"/>
          <w:color w:val="2F2F2F"/>
          <w:sz w:val="18"/>
          <w:szCs w:val="18"/>
          <w:lang w:eastAsia="es-MX"/>
        </w:rPr>
        <w:t>Dane</w:t>
      </w:r>
      <w:proofErr w:type="spellEnd"/>
      <w:r w:rsidRPr="00B96049">
        <w:rPr>
          <w:rFonts w:ascii="Arial" w:eastAsia="Times New Roman" w:hAnsi="Arial" w:cs="Arial"/>
          <w:color w:val="2F2F2F"/>
          <w:sz w:val="18"/>
          <w:szCs w:val="18"/>
          <w:lang w:eastAsia="es-MX"/>
        </w:rPr>
        <w:t xml:space="preserve">. Esta unión se hidroliza con agua y ácido clorhídrico para obtener la amoxicilina </w:t>
      </w:r>
      <w:proofErr w:type="spellStart"/>
      <w:r w:rsidRPr="00B96049">
        <w:rPr>
          <w:rFonts w:ascii="Arial" w:eastAsia="Times New Roman" w:hAnsi="Arial" w:cs="Arial"/>
          <w:color w:val="2F2F2F"/>
          <w:sz w:val="18"/>
          <w:szCs w:val="18"/>
          <w:lang w:eastAsia="es-MX"/>
        </w:rPr>
        <w:t>clorhidratada</w:t>
      </w:r>
      <w:proofErr w:type="spellEnd"/>
      <w:r w:rsidRPr="00B96049">
        <w:rPr>
          <w:rFonts w:ascii="Arial" w:eastAsia="Times New Roman" w:hAnsi="Arial" w:cs="Arial"/>
          <w:color w:val="2F2F2F"/>
          <w:sz w:val="18"/>
          <w:szCs w:val="18"/>
          <w:lang w:eastAsia="es-MX"/>
        </w:rPr>
        <w:t>. En la etapa de precipitación se adiciona un agente alcalino para obtener los cristales del producto. Estos cristales se separan de dicho solvente por centrifugación para secarse. Finalmente, el polvo seco se tamiza y homogeneiza para empacarse o compactarse, según los requerimientos del cliente.</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4. Normas</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13.</w:t>
      </w:r>
      <w:r w:rsidRPr="00B96049">
        <w:rPr>
          <w:rFonts w:ascii="Arial" w:eastAsia="Times New Roman" w:hAnsi="Arial" w:cs="Arial"/>
          <w:color w:val="2F2F2F"/>
          <w:sz w:val="18"/>
          <w:szCs w:val="18"/>
          <w:lang w:eastAsia="es-MX"/>
        </w:rPr>
        <w:t> La amoxicilina se utiliza para la fabricación de medicamentos. La farmacopea de cada país establece las especificaciones de producción, que deben coincidir con la farmacopea internacional de la Organización Mundial de la Salud (OMS). De acuerdo con el Sistema Integral de Información de Comercio Exterior, para su importación se requiere de una autorización sanitaria de la Comisión Federal para la Protección contra Riesgos Sanitarios (COFEPRIS), cuando los productos importados se destinen para el diagnóstico, tratamiento, prevención o rehabilitación de enfermedades en humanos.</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5. Usos y funciones</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14.</w:t>
      </w:r>
      <w:r w:rsidRPr="00B96049">
        <w:rPr>
          <w:rFonts w:ascii="Arial" w:eastAsia="Times New Roman" w:hAnsi="Arial" w:cs="Arial"/>
          <w:color w:val="2F2F2F"/>
          <w:sz w:val="18"/>
          <w:szCs w:val="18"/>
          <w:lang w:eastAsia="es-MX"/>
        </w:rPr>
        <w:t xml:space="preserve"> La amoxicilina se utiliza para el tratamiento de infecciones tanto en medicina humana como veterinaria. Es la materia prima para la fabricación de productos y medicamentos que la contienen como elemento activo; éstos adquieren diversas presentaciones: cápsulas (250 y 500 miligramos), tabletas (500 </w:t>
      </w:r>
      <w:r w:rsidRPr="00B96049">
        <w:rPr>
          <w:rFonts w:ascii="Arial" w:eastAsia="Times New Roman" w:hAnsi="Arial" w:cs="Arial"/>
          <w:color w:val="2F2F2F"/>
          <w:sz w:val="18"/>
          <w:szCs w:val="18"/>
          <w:lang w:eastAsia="es-MX"/>
        </w:rPr>
        <w:lastRenderedPageBreak/>
        <w:t>miligramos y 1 gramo), polvos para suspensión (250 y 500 miligramos), productos con molécula blindada para aplicaciones veterinarias e inyectables para consumo humano. Dichos productos y medicamentos se fabrican como mercancías de marca registrada o genéricos intercambiables. Para su conservación debe mantenerse en envases o contenedores herméticamente cerrados, a temperatura ambiente controlada y protegidos de la luz.</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F. Posibles partes interesadas</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15.</w:t>
      </w:r>
      <w:r w:rsidRPr="00B96049">
        <w:rPr>
          <w:rFonts w:ascii="Arial" w:eastAsia="Times New Roman" w:hAnsi="Arial" w:cs="Arial"/>
          <w:color w:val="2F2F2F"/>
          <w:sz w:val="18"/>
          <w:szCs w:val="18"/>
          <w:lang w:eastAsia="es-MX"/>
        </w:rPr>
        <w:t> Las partes de que la Secretaría tiene conocimiento y que podrían tener interés en comparecer al presente procedimiento, son las siguientes:</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1. Productora nacional</w:t>
      </w:r>
    </w:p>
    <w:p w:rsidR="00B96049" w:rsidRPr="00B96049" w:rsidRDefault="00B96049" w:rsidP="00B96049">
      <w:pPr>
        <w:shd w:val="clear" w:color="auto" w:fill="FFFFFF"/>
        <w:spacing w:after="0" w:line="240" w:lineRule="auto"/>
        <w:jc w:val="both"/>
        <w:rPr>
          <w:rFonts w:ascii="Arial" w:eastAsia="Times New Roman" w:hAnsi="Arial" w:cs="Arial"/>
          <w:color w:val="2F2F2F"/>
          <w:sz w:val="18"/>
          <w:szCs w:val="18"/>
          <w:lang w:eastAsia="es-MX"/>
        </w:rPr>
      </w:pPr>
      <w:proofErr w:type="spellStart"/>
      <w:r w:rsidRPr="00B96049">
        <w:rPr>
          <w:rFonts w:ascii="Arial" w:eastAsia="Times New Roman" w:hAnsi="Arial" w:cs="Arial"/>
          <w:color w:val="2F2F2F"/>
          <w:sz w:val="18"/>
          <w:szCs w:val="18"/>
          <w:lang w:eastAsia="es-MX"/>
        </w:rPr>
        <w:t>Fersinsa</w:t>
      </w:r>
      <w:proofErr w:type="spellEnd"/>
      <w:r w:rsidRPr="00B96049">
        <w:rPr>
          <w:rFonts w:ascii="Arial" w:eastAsia="Times New Roman" w:hAnsi="Arial" w:cs="Arial"/>
          <w:color w:val="2F2F2F"/>
          <w:sz w:val="18"/>
          <w:szCs w:val="18"/>
          <w:lang w:eastAsia="es-MX"/>
        </w:rPr>
        <w:t xml:space="preserve"> GB, S.A. de C.V.</w:t>
      </w:r>
    </w:p>
    <w:p w:rsidR="00B96049" w:rsidRPr="00B96049" w:rsidRDefault="00B96049" w:rsidP="00B96049">
      <w:pPr>
        <w:shd w:val="clear" w:color="auto" w:fill="FFFFFF"/>
        <w:spacing w:after="0" w:line="240" w:lineRule="auto"/>
        <w:jc w:val="both"/>
        <w:rPr>
          <w:rFonts w:ascii="Arial" w:eastAsia="Times New Roman" w:hAnsi="Arial" w:cs="Arial"/>
          <w:color w:val="2F2F2F"/>
          <w:sz w:val="18"/>
          <w:szCs w:val="18"/>
          <w:lang w:eastAsia="es-MX"/>
        </w:rPr>
      </w:pPr>
      <w:r w:rsidRPr="00B96049">
        <w:rPr>
          <w:rFonts w:ascii="Arial" w:eastAsia="Times New Roman" w:hAnsi="Arial" w:cs="Arial"/>
          <w:color w:val="2F2F2F"/>
          <w:sz w:val="18"/>
          <w:szCs w:val="18"/>
          <w:lang w:eastAsia="es-MX"/>
        </w:rPr>
        <w:t>Carretera Saltillo-Monterrey Km. 12.5</w:t>
      </w:r>
    </w:p>
    <w:p w:rsidR="00B96049" w:rsidRPr="00B96049" w:rsidRDefault="00B96049" w:rsidP="00B96049">
      <w:pPr>
        <w:shd w:val="clear" w:color="auto" w:fill="FFFFFF"/>
        <w:spacing w:after="0" w:line="240" w:lineRule="auto"/>
        <w:jc w:val="both"/>
        <w:rPr>
          <w:rFonts w:ascii="Arial" w:eastAsia="Times New Roman" w:hAnsi="Arial" w:cs="Arial"/>
          <w:color w:val="2F2F2F"/>
          <w:sz w:val="18"/>
          <w:szCs w:val="18"/>
          <w:lang w:eastAsia="es-MX"/>
        </w:rPr>
      </w:pPr>
      <w:r w:rsidRPr="00B96049">
        <w:rPr>
          <w:rFonts w:ascii="Arial" w:eastAsia="Times New Roman" w:hAnsi="Arial" w:cs="Arial"/>
          <w:color w:val="2F2F2F"/>
          <w:sz w:val="18"/>
          <w:szCs w:val="18"/>
          <w:lang w:eastAsia="es-MX"/>
        </w:rPr>
        <w:t>Col. Ramos Arizpe</w:t>
      </w:r>
    </w:p>
    <w:p w:rsidR="00B96049" w:rsidRPr="00B96049" w:rsidRDefault="00B96049" w:rsidP="00B96049">
      <w:pPr>
        <w:shd w:val="clear" w:color="auto" w:fill="FFFFFF"/>
        <w:spacing w:after="101" w:line="240" w:lineRule="auto"/>
        <w:jc w:val="both"/>
        <w:rPr>
          <w:rFonts w:ascii="Arial" w:eastAsia="Times New Roman" w:hAnsi="Arial" w:cs="Arial"/>
          <w:color w:val="2F2F2F"/>
          <w:sz w:val="18"/>
          <w:szCs w:val="18"/>
          <w:lang w:eastAsia="es-MX"/>
        </w:rPr>
      </w:pPr>
      <w:r w:rsidRPr="00B96049">
        <w:rPr>
          <w:rFonts w:ascii="Arial" w:eastAsia="Times New Roman" w:hAnsi="Arial" w:cs="Arial"/>
          <w:color w:val="2F2F2F"/>
          <w:sz w:val="18"/>
          <w:szCs w:val="18"/>
          <w:lang w:eastAsia="es-MX"/>
        </w:rPr>
        <w:t>C.P. 25900, Coahuila</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2. Importadoras</w:t>
      </w:r>
    </w:p>
    <w:p w:rsidR="00B96049" w:rsidRPr="00B96049" w:rsidRDefault="00B96049" w:rsidP="00B96049">
      <w:pPr>
        <w:shd w:val="clear" w:color="auto" w:fill="FFFFFF"/>
        <w:spacing w:after="0" w:line="240" w:lineRule="auto"/>
        <w:jc w:val="both"/>
        <w:rPr>
          <w:rFonts w:ascii="Arial" w:eastAsia="Times New Roman" w:hAnsi="Arial" w:cs="Arial"/>
          <w:color w:val="2F2F2F"/>
          <w:sz w:val="18"/>
          <w:szCs w:val="18"/>
          <w:lang w:eastAsia="es-MX"/>
        </w:rPr>
      </w:pPr>
      <w:r w:rsidRPr="00B96049">
        <w:rPr>
          <w:rFonts w:ascii="Arial" w:eastAsia="Times New Roman" w:hAnsi="Arial" w:cs="Arial"/>
          <w:color w:val="2F2F2F"/>
          <w:sz w:val="18"/>
          <w:szCs w:val="18"/>
          <w:lang w:eastAsia="es-MX"/>
        </w:rPr>
        <w:t>Antibióticos de México, S.A. de C.V.</w:t>
      </w:r>
    </w:p>
    <w:p w:rsidR="00B96049" w:rsidRPr="00B96049" w:rsidRDefault="00B96049" w:rsidP="00B96049">
      <w:pPr>
        <w:shd w:val="clear" w:color="auto" w:fill="FFFFFF"/>
        <w:spacing w:after="0" w:line="240" w:lineRule="auto"/>
        <w:jc w:val="both"/>
        <w:rPr>
          <w:rFonts w:ascii="Arial" w:eastAsia="Times New Roman" w:hAnsi="Arial" w:cs="Arial"/>
          <w:color w:val="2F2F2F"/>
          <w:sz w:val="18"/>
          <w:szCs w:val="18"/>
          <w:lang w:eastAsia="es-MX"/>
        </w:rPr>
      </w:pPr>
      <w:r w:rsidRPr="00B96049">
        <w:rPr>
          <w:rFonts w:ascii="Arial" w:eastAsia="Times New Roman" w:hAnsi="Arial" w:cs="Arial"/>
          <w:color w:val="2F2F2F"/>
          <w:sz w:val="18"/>
          <w:szCs w:val="18"/>
          <w:lang w:eastAsia="es-MX"/>
        </w:rPr>
        <w:t>Las Flores No. 56</w:t>
      </w:r>
    </w:p>
    <w:p w:rsidR="00B96049" w:rsidRPr="00B96049" w:rsidRDefault="00B96049" w:rsidP="00B96049">
      <w:pPr>
        <w:shd w:val="clear" w:color="auto" w:fill="FFFFFF"/>
        <w:spacing w:after="0" w:line="240" w:lineRule="auto"/>
        <w:jc w:val="both"/>
        <w:rPr>
          <w:rFonts w:ascii="Arial" w:eastAsia="Times New Roman" w:hAnsi="Arial" w:cs="Arial"/>
          <w:color w:val="2F2F2F"/>
          <w:sz w:val="18"/>
          <w:szCs w:val="18"/>
          <w:lang w:eastAsia="es-MX"/>
        </w:rPr>
      </w:pPr>
      <w:r w:rsidRPr="00B96049">
        <w:rPr>
          <w:rFonts w:ascii="Arial" w:eastAsia="Times New Roman" w:hAnsi="Arial" w:cs="Arial"/>
          <w:color w:val="2F2F2F"/>
          <w:sz w:val="18"/>
          <w:szCs w:val="18"/>
          <w:lang w:eastAsia="es-MX"/>
        </w:rPr>
        <w:t>Col. La Candelaria</w:t>
      </w:r>
    </w:p>
    <w:p w:rsidR="00B96049" w:rsidRPr="00B96049" w:rsidRDefault="00B96049" w:rsidP="00B96049">
      <w:pPr>
        <w:shd w:val="clear" w:color="auto" w:fill="FFFFFF"/>
        <w:spacing w:after="101" w:line="240" w:lineRule="auto"/>
        <w:jc w:val="both"/>
        <w:rPr>
          <w:rFonts w:ascii="Arial" w:eastAsia="Times New Roman" w:hAnsi="Arial" w:cs="Arial"/>
          <w:color w:val="2F2F2F"/>
          <w:sz w:val="18"/>
          <w:szCs w:val="18"/>
          <w:lang w:eastAsia="es-MX"/>
        </w:rPr>
      </w:pPr>
      <w:r w:rsidRPr="00B96049">
        <w:rPr>
          <w:rFonts w:ascii="Arial" w:eastAsia="Times New Roman" w:hAnsi="Arial" w:cs="Arial"/>
          <w:color w:val="2F2F2F"/>
          <w:sz w:val="18"/>
          <w:szCs w:val="18"/>
          <w:lang w:eastAsia="es-MX"/>
        </w:rPr>
        <w:t>C.P. 04380, Ciudad de México</w:t>
      </w:r>
    </w:p>
    <w:p w:rsidR="00B96049" w:rsidRPr="00B96049" w:rsidRDefault="00B96049" w:rsidP="00B96049">
      <w:pPr>
        <w:shd w:val="clear" w:color="auto" w:fill="FFFFFF"/>
        <w:spacing w:after="0" w:line="240" w:lineRule="auto"/>
        <w:jc w:val="both"/>
        <w:rPr>
          <w:rFonts w:ascii="Arial" w:eastAsia="Times New Roman" w:hAnsi="Arial" w:cs="Arial"/>
          <w:color w:val="2F2F2F"/>
          <w:sz w:val="18"/>
          <w:szCs w:val="18"/>
          <w:lang w:eastAsia="es-MX"/>
        </w:rPr>
      </w:pPr>
      <w:r w:rsidRPr="00B96049">
        <w:rPr>
          <w:rFonts w:ascii="Arial" w:eastAsia="Times New Roman" w:hAnsi="Arial" w:cs="Arial"/>
          <w:color w:val="2F2F2F"/>
          <w:sz w:val="18"/>
          <w:szCs w:val="18"/>
          <w:lang w:eastAsia="es-MX"/>
        </w:rPr>
        <w:t>Laboratorios Pisa, S.A. de C.V.</w:t>
      </w:r>
    </w:p>
    <w:p w:rsidR="00B96049" w:rsidRPr="00B96049" w:rsidRDefault="00B96049" w:rsidP="00B96049">
      <w:pPr>
        <w:shd w:val="clear" w:color="auto" w:fill="FFFFFF"/>
        <w:spacing w:after="0" w:line="240" w:lineRule="auto"/>
        <w:jc w:val="both"/>
        <w:rPr>
          <w:rFonts w:ascii="Arial" w:eastAsia="Times New Roman" w:hAnsi="Arial" w:cs="Arial"/>
          <w:color w:val="2F2F2F"/>
          <w:sz w:val="18"/>
          <w:szCs w:val="18"/>
          <w:lang w:eastAsia="es-MX"/>
        </w:rPr>
      </w:pPr>
      <w:r w:rsidRPr="00B96049">
        <w:rPr>
          <w:rFonts w:ascii="Arial" w:eastAsia="Times New Roman" w:hAnsi="Arial" w:cs="Arial"/>
          <w:color w:val="2F2F2F"/>
          <w:sz w:val="18"/>
          <w:szCs w:val="18"/>
          <w:lang w:eastAsia="es-MX"/>
        </w:rPr>
        <w:t>Miguel Ángel de Quevedo No. 555</w:t>
      </w:r>
    </w:p>
    <w:p w:rsidR="00B96049" w:rsidRPr="00B96049" w:rsidRDefault="00B96049" w:rsidP="00B96049">
      <w:pPr>
        <w:shd w:val="clear" w:color="auto" w:fill="FFFFFF"/>
        <w:spacing w:after="0" w:line="240" w:lineRule="auto"/>
        <w:jc w:val="both"/>
        <w:rPr>
          <w:rFonts w:ascii="Arial" w:eastAsia="Times New Roman" w:hAnsi="Arial" w:cs="Arial"/>
          <w:color w:val="2F2F2F"/>
          <w:sz w:val="18"/>
          <w:szCs w:val="18"/>
          <w:lang w:eastAsia="es-MX"/>
        </w:rPr>
      </w:pPr>
      <w:r w:rsidRPr="00B96049">
        <w:rPr>
          <w:rFonts w:ascii="Arial" w:eastAsia="Times New Roman" w:hAnsi="Arial" w:cs="Arial"/>
          <w:color w:val="2F2F2F"/>
          <w:sz w:val="18"/>
          <w:szCs w:val="18"/>
          <w:lang w:eastAsia="es-MX"/>
        </w:rPr>
        <w:t>Col. Romero de Terreros</w:t>
      </w:r>
    </w:p>
    <w:p w:rsidR="00B96049" w:rsidRPr="00B96049" w:rsidRDefault="00B96049" w:rsidP="00B96049">
      <w:pPr>
        <w:shd w:val="clear" w:color="auto" w:fill="FFFFFF"/>
        <w:spacing w:after="101" w:line="240" w:lineRule="auto"/>
        <w:jc w:val="both"/>
        <w:rPr>
          <w:rFonts w:ascii="Arial" w:eastAsia="Times New Roman" w:hAnsi="Arial" w:cs="Arial"/>
          <w:color w:val="2F2F2F"/>
          <w:sz w:val="18"/>
          <w:szCs w:val="18"/>
          <w:lang w:eastAsia="es-MX"/>
        </w:rPr>
      </w:pPr>
      <w:r w:rsidRPr="00B96049">
        <w:rPr>
          <w:rFonts w:ascii="Arial" w:eastAsia="Times New Roman" w:hAnsi="Arial" w:cs="Arial"/>
          <w:color w:val="2F2F2F"/>
          <w:sz w:val="18"/>
          <w:szCs w:val="18"/>
          <w:lang w:eastAsia="es-MX"/>
        </w:rPr>
        <w:t>C.P. 04310, Ciudad de México</w:t>
      </w:r>
    </w:p>
    <w:p w:rsidR="00B96049" w:rsidRPr="00B96049" w:rsidRDefault="00B96049" w:rsidP="00B96049">
      <w:pPr>
        <w:shd w:val="clear" w:color="auto" w:fill="FFFFFF"/>
        <w:spacing w:after="0" w:line="240" w:lineRule="auto"/>
        <w:jc w:val="both"/>
        <w:rPr>
          <w:rFonts w:ascii="Arial" w:eastAsia="Times New Roman" w:hAnsi="Arial" w:cs="Arial"/>
          <w:color w:val="2F2F2F"/>
          <w:sz w:val="18"/>
          <w:szCs w:val="18"/>
          <w:lang w:eastAsia="es-MX"/>
        </w:rPr>
      </w:pPr>
      <w:r w:rsidRPr="00B96049">
        <w:rPr>
          <w:rFonts w:ascii="Arial" w:eastAsia="Times New Roman" w:hAnsi="Arial" w:cs="Arial"/>
          <w:color w:val="2F2F2F"/>
          <w:sz w:val="18"/>
          <w:szCs w:val="18"/>
          <w:lang w:eastAsia="es-MX"/>
        </w:rPr>
        <w:t>Sales y Materias Primas, S. de R.L. de C.V.</w:t>
      </w:r>
    </w:p>
    <w:p w:rsidR="00B96049" w:rsidRPr="00B96049" w:rsidRDefault="00B96049" w:rsidP="00B96049">
      <w:pPr>
        <w:shd w:val="clear" w:color="auto" w:fill="FFFFFF"/>
        <w:spacing w:after="0" w:line="240" w:lineRule="auto"/>
        <w:jc w:val="both"/>
        <w:rPr>
          <w:rFonts w:ascii="Arial" w:eastAsia="Times New Roman" w:hAnsi="Arial" w:cs="Arial"/>
          <w:color w:val="2F2F2F"/>
          <w:sz w:val="18"/>
          <w:szCs w:val="18"/>
          <w:lang w:eastAsia="es-MX"/>
        </w:rPr>
      </w:pPr>
      <w:r w:rsidRPr="00B96049">
        <w:rPr>
          <w:rFonts w:ascii="Arial" w:eastAsia="Times New Roman" w:hAnsi="Arial" w:cs="Arial"/>
          <w:color w:val="2F2F2F"/>
          <w:sz w:val="18"/>
          <w:szCs w:val="18"/>
          <w:lang w:eastAsia="es-MX"/>
        </w:rPr>
        <w:t>Caldera No. 2099</w:t>
      </w:r>
    </w:p>
    <w:p w:rsidR="00B96049" w:rsidRPr="00B96049" w:rsidRDefault="00B96049" w:rsidP="00B96049">
      <w:pPr>
        <w:shd w:val="clear" w:color="auto" w:fill="FFFFFF"/>
        <w:spacing w:after="0" w:line="240" w:lineRule="auto"/>
        <w:jc w:val="both"/>
        <w:rPr>
          <w:rFonts w:ascii="Arial" w:eastAsia="Times New Roman" w:hAnsi="Arial" w:cs="Arial"/>
          <w:color w:val="2F2F2F"/>
          <w:sz w:val="18"/>
          <w:szCs w:val="18"/>
          <w:lang w:eastAsia="es-MX"/>
        </w:rPr>
      </w:pPr>
      <w:r w:rsidRPr="00B96049">
        <w:rPr>
          <w:rFonts w:ascii="Arial" w:eastAsia="Times New Roman" w:hAnsi="Arial" w:cs="Arial"/>
          <w:color w:val="2F2F2F"/>
          <w:sz w:val="18"/>
          <w:szCs w:val="18"/>
          <w:lang w:eastAsia="es-MX"/>
        </w:rPr>
        <w:t>Col. Álamo Industrial</w:t>
      </w:r>
    </w:p>
    <w:p w:rsidR="00B96049" w:rsidRPr="00B96049" w:rsidRDefault="00B96049" w:rsidP="00B96049">
      <w:pPr>
        <w:shd w:val="clear" w:color="auto" w:fill="FFFFFF"/>
        <w:spacing w:after="101" w:line="240" w:lineRule="auto"/>
        <w:jc w:val="both"/>
        <w:rPr>
          <w:rFonts w:ascii="Arial" w:eastAsia="Times New Roman" w:hAnsi="Arial" w:cs="Arial"/>
          <w:color w:val="2F2F2F"/>
          <w:sz w:val="18"/>
          <w:szCs w:val="18"/>
          <w:lang w:eastAsia="es-MX"/>
        </w:rPr>
      </w:pPr>
      <w:r w:rsidRPr="00B96049">
        <w:rPr>
          <w:rFonts w:ascii="Arial" w:eastAsia="Times New Roman" w:hAnsi="Arial" w:cs="Arial"/>
          <w:color w:val="2F2F2F"/>
          <w:sz w:val="18"/>
          <w:szCs w:val="18"/>
          <w:lang w:eastAsia="es-MX"/>
        </w:rPr>
        <w:t>C.P. 45593, Tlaquepaque, Jalisco</w:t>
      </w:r>
    </w:p>
    <w:p w:rsidR="00B96049" w:rsidRPr="00B96049" w:rsidRDefault="00B96049" w:rsidP="00B96049">
      <w:pPr>
        <w:shd w:val="clear" w:color="auto" w:fill="FFFFFF"/>
        <w:spacing w:after="0" w:line="240" w:lineRule="auto"/>
        <w:jc w:val="both"/>
        <w:rPr>
          <w:rFonts w:ascii="Arial" w:eastAsia="Times New Roman" w:hAnsi="Arial" w:cs="Arial"/>
          <w:color w:val="2F2F2F"/>
          <w:sz w:val="18"/>
          <w:szCs w:val="18"/>
          <w:lang w:eastAsia="es-MX"/>
        </w:rPr>
      </w:pPr>
      <w:r w:rsidRPr="00B96049">
        <w:rPr>
          <w:rFonts w:ascii="Arial" w:eastAsia="Times New Roman" w:hAnsi="Arial" w:cs="Arial"/>
          <w:color w:val="2F2F2F"/>
          <w:sz w:val="18"/>
          <w:szCs w:val="18"/>
          <w:lang w:eastAsia="es-MX"/>
        </w:rPr>
        <w:t xml:space="preserve">Productos </w:t>
      </w:r>
      <w:proofErr w:type="spellStart"/>
      <w:r w:rsidRPr="00B96049">
        <w:rPr>
          <w:rFonts w:ascii="Arial" w:eastAsia="Times New Roman" w:hAnsi="Arial" w:cs="Arial"/>
          <w:color w:val="2F2F2F"/>
          <w:sz w:val="18"/>
          <w:szCs w:val="18"/>
          <w:lang w:eastAsia="es-MX"/>
        </w:rPr>
        <w:t>Maver</w:t>
      </w:r>
      <w:proofErr w:type="spellEnd"/>
      <w:r w:rsidRPr="00B96049">
        <w:rPr>
          <w:rFonts w:ascii="Arial" w:eastAsia="Times New Roman" w:hAnsi="Arial" w:cs="Arial"/>
          <w:color w:val="2F2F2F"/>
          <w:sz w:val="18"/>
          <w:szCs w:val="18"/>
          <w:lang w:eastAsia="es-MX"/>
        </w:rPr>
        <w:t>, S.A. de C.V.</w:t>
      </w:r>
    </w:p>
    <w:p w:rsidR="00B96049" w:rsidRPr="00B96049" w:rsidRDefault="00B96049" w:rsidP="00B96049">
      <w:pPr>
        <w:shd w:val="clear" w:color="auto" w:fill="FFFFFF"/>
        <w:spacing w:after="0" w:line="240" w:lineRule="auto"/>
        <w:jc w:val="both"/>
        <w:rPr>
          <w:rFonts w:ascii="Arial" w:eastAsia="Times New Roman" w:hAnsi="Arial" w:cs="Arial"/>
          <w:color w:val="2F2F2F"/>
          <w:sz w:val="18"/>
          <w:szCs w:val="18"/>
          <w:lang w:eastAsia="es-MX"/>
        </w:rPr>
      </w:pPr>
      <w:r w:rsidRPr="00B96049">
        <w:rPr>
          <w:rFonts w:ascii="Arial" w:eastAsia="Times New Roman" w:hAnsi="Arial" w:cs="Arial"/>
          <w:color w:val="2F2F2F"/>
          <w:sz w:val="18"/>
          <w:szCs w:val="18"/>
          <w:lang w:eastAsia="es-MX"/>
        </w:rPr>
        <w:t>Oleoducto No. 2804</w:t>
      </w:r>
    </w:p>
    <w:p w:rsidR="00B96049" w:rsidRPr="00B96049" w:rsidRDefault="00B96049" w:rsidP="00B96049">
      <w:pPr>
        <w:shd w:val="clear" w:color="auto" w:fill="FFFFFF"/>
        <w:spacing w:after="0" w:line="240" w:lineRule="auto"/>
        <w:jc w:val="both"/>
        <w:rPr>
          <w:rFonts w:ascii="Arial" w:eastAsia="Times New Roman" w:hAnsi="Arial" w:cs="Arial"/>
          <w:color w:val="2F2F2F"/>
          <w:sz w:val="18"/>
          <w:szCs w:val="18"/>
          <w:lang w:eastAsia="es-MX"/>
        </w:rPr>
      </w:pPr>
      <w:r w:rsidRPr="00B96049">
        <w:rPr>
          <w:rFonts w:ascii="Arial" w:eastAsia="Times New Roman" w:hAnsi="Arial" w:cs="Arial"/>
          <w:color w:val="2F2F2F"/>
          <w:sz w:val="18"/>
          <w:szCs w:val="18"/>
          <w:lang w:eastAsia="es-MX"/>
        </w:rPr>
        <w:t>Parque Industrial El Álamo</w:t>
      </w:r>
    </w:p>
    <w:p w:rsidR="00B96049" w:rsidRPr="00B96049" w:rsidRDefault="00B96049" w:rsidP="00B96049">
      <w:pPr>
        <w:shd w:val="clear" w:color="auto" w:fill="FFFFFF"/>
        <w:spacing w:after="101" w:line="240" w:lineRule="auto"/>
        <w:jc w:val="both"/>
        <w:rPr>
          <w:rFonts w:ascii="Arial" w:eastAsia="Times New Roman" w:hAnsi="Arial" w:cs="Arial"/>
          <w:color w:val="2F2F2F"/>
          <w:sz w:val="18"/>
          <w:szCs w:val="18"/>
          <w:lang w:eastAsia="es-MX"/>
        </w:rPr>
      </w:pPr>
      <w:r w:rsidRPr="00B96049">
        <w:rPr>
          <w:rFonts w:ascii="Arial" w:eastAsia="Times New Roman" w:hAnsi="Arial" w:cs="Arial"/>
          <w:color w:val="2F2F2F"/>
          <w:sz w:val="18"/>
          <w:szCs w:val="18"/>
          <w:lang w:eastAsia="es-MX"/>
        </w:rPr>
        <w:t>C.P. 44490, Guadalajara, Jalisco</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3. Exportador</w:t>
      </w:r>
    </w:p>
    <w:p w:rsidR="00B96049" w:rsidRPr="00B96049" w:rsidRDefault="00B96049" w:rsidP="00B96049">
      <w:pPr>
        <w:shd w:val="clear" w:color="auto" w:fill="FFFFFF"/>
        <w:spacing w:after="0" w:line="240" w:lineRule="auto"/>
        <w:jc w:val="both"/>
        <w:rPr>
          <w:rFonts w:ascii="Arial" w:eastAsia="Times New Roman" w:hAnsi="Arial" w:cs="Arial"/>
          <w:color w:val="2F2F2F"/>
          <w:sz w:val="18"/>
          <w:szCs w:val="18"/>
          <w:lang w:eastAsia="es-MX"/>
        </w:rPr>
      </w:pPr>
      <w:r w:rsidRPr="00B96049">
        <w:rPr>
          <w:rFonts w:ascii="Arial" w:eastAsia="Times New Roman" w:hAnsi="Arial" w:cs="Arial"/>
          <w:color w:val="2F2F2F"/>
          <w:sz w:val="18"/>
          <w:szCs w:val="18"/>
          <w:lang w:eastAsia="es-MX"/>
        </w:rPr>
        <w:t xml:space="preserve">MCM </w:t>
      </w:r>
      <w:proofErr w:type="spellStart"/>
      <w:r w:rsidRPr="00B96049">
        <w:rPr>
          <w:rFonts w:ascii="Arial" w:eastAsia="Times New Roman" w:hAnsi="Arial" w:cs="Arial"/>
          <w:color w:val="2F2F2F"/>
          <w:sz w:val="18"/>
          <w:szCs w:val="18"/>
          <w:lang w:eastAsia="es-MX"/>
        </w:rPr>
        <w:t>Pharma</w:t>
      </w:r>
      <w:proofErr w:type="spellEnd"/>
      <w:r w:rsidRPr="00B96049">
        <w:rPr>
          <w:rFonts w:ascii="Arial" w:eastAsia="Times New Roman" w:hAnsi="Arial" w:cs="Arial"/>
          <w:color w:val="2F2F2F"/>
          <w:sz w:val="18"/>
          <w:szCs w:val="18"/>
          <w:lang w:eastAsia="es-MX"/>
        </w:rPr>
        <w:t xml:space="preserve"> </w:t>
      </w:r>
      <w:proofErr w:type="spellStart"/>
      <w:r w:rsidRPr="00B96049">
        <w:rPr>
          <w:rFonts w:ascii="Arial" w:eastAsia="Times New Roman" w:hAnsi="Arial" w:cs="Arial"/>
          <w:color w:val="2F2F2F"/>
          <w:sz w:val="18"/>
          <w:szCs w:val="18"/>
          <w:lang w:eastAsia="es-MX"/>
        </w:rPr>
        <w:t>GmbH</w:t>
      </w:r>
      <w:proofErr w:type="spellEnd"/>
    </w:p>
    <w:p w:rsidR="00B96049" w:rsidRPr="00B96049" w:rsidRDefault="00B96049" w:rsidP="00B96049">
      <w:pPr>
        <w:shd w:val="clear" w:color="auto" w:fill="FFFFFF"/>
        <w:spacing w:after="0" w:line="240" w:lineRule="auto"/>
        <w:jc w:val="both"/>
        <w:rPr>
          <w:rFonts w:ascii="Arial" w:eastAsia="Times New Roman" w:hAnsi="Arial" w:cs="Arial"/>
          <w:color w:val="2F2F2F"/>
          <w:sz w:val="18"/>
          <w:szCs w:val="18"/>
          <w:lang w:eastAsia="es-MX"/>
        </w:rPr>
      </w:pPr>
      <w:proofErr w:type="spellStart"/>
      <w:r w:rsidRPr="00B96049">
        <w:rPr>
          <w:rFonts w:ascii="Arial" w:eastAsia="Times New Roman" w:hAnsi="Arial" w:cs="Arial"/>
          <w:color w:val="2F2F2F"/>
          <w:sz w:val="18"/>
          <w:szCs w:val="18"/>
          <w:lang w:eastAsia="es-MX"/>
        </w:rPr>
        <w:t>Kleine</w:t>
      </w:r>
      <w:proofErr w:type="spellEnd"/>
      <w:r w:rsidRPr="00B96049">
        <w:rPr>
          <w:rFonts w:ascii="Arial" w:eastAsia="Times New Roman" w:hAnsi="Arial" w:cs="Arial"/>
          <w:color w:val="2F2F2F"/>
          <w:sz w:val="18"/>
          <w:szCs w:val="18"/>
          <w:lang w:eastAsia="es-MX"/>
        </w:rPr>
        <w:t xml:space="preserve"> </w:t>
      </w:r>
      <w:proofErr w:type="spellStart"/>
      <w:r w:rsidRPr="00B96049">
        <w:rPr>
          <w:rFonts w:ascii="Arial" w:eastAsia="Times New Roman" w:hAnsi="Arial" w:cs="Arial"/>
          <w:color w:val="2F2F2F"/>
          <w:sz w:val="18"/>
          <w:szCs w:val="18"/>
          <w:lang w:eastAsia="es-MX"/>
        </w:rPr>
        <w:t>Johannisstraße</w:t>
      </w:r>
      <w:proofErr w:type="spellEnd"/>
      <w:r w:rsidRPr="00B96049">
        <w:rPr>
          <w:rFonts w:ascii="Arial" w:eastAsia="Times New Roman" w:hAnsi="Arial" w:cs="Arial"/>
          <w:color w:val="2F2F2F"/>
          <w:sz w:val="18"/>
          <w:szCs w:val="18"/>
          <w:lang w:eastAsia="es-MX"/>
        </w:rPr>
        <w:t xml:space="preserve"> 10</w:t>
      </w:r>
    </w:p>
    <w:p w:rsidR="00B96049" w:rsidRPr="00B96049" w:rsidRDefault="00B96049" w:rsidP="00B96049">
      <w:pPr>
        <w:shd w:val="clear" w:color="auto" w:fill="FFFFFF"/>
        <w:spacing w:after="101" w:line="240" w:lineRule="auto"/>
        <w:jc w:val="both"/>
        <w:rPr>
          <w:rFonts w:ascii="Arial" w:eastAsia="Times New Roman" w:hAnsi="Arial" w:cs="Arial"/>
          <w:color w:val="2F2F2F"/>
          <w:sz w:val="18"/>
          <w:szCs w:val="18"/>
          <w:lang w:eastAsia="es-MX"/>
        </w:rPr>
      </w:pPr>
      <w:r w:rsidRPr="00B96049">
        <w:rPr>
          <w:rFonts w:ascii="Arial" w:eastAsia="Times New Roman" w:hAnsi="Arial" w:cs="Arial"/>
          <w:color w:val="2F2F2F"/>
          <w:sz w:val="18"/>
          <w:szCs w:val="18"/>
          <w:lang w:eastAsia="es-MX"/>
        </w:rPr>
        <w:t>20457, Hamburgo, Alemania</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4. Gobierno</w:t>
      </w:r>
    </w:p>
    <w:p w:rsidR="00B96049" w:rsidRPr="00B96049" w:rsidRDefault="00B96049" w:rsidP="00B96049">
      <w:pPr>
        <w:shd w:val="clear" w:color="auto" w:fill="FFFFFF"/>
        <w:spacing w:after="0" w:line="240" w:lineRule="auto"/>
        <w:jc w:val="both"/>
        <w:rPr>
          <w:rFonts w:ascii="Arial" w:eastAsia="Times New Roman" w:hAnsi="Arial" w:cs="Arial"/>
          <w:color w:val="2F2F2F"/>
          <w:sz w:val="18"/>
          <w:szCs w:val="18"/>
          <w:lang w:eastAsia="es-MX"/>
        </w:rPr>
      </w:pPr>
      <w:r w:rsidRPr="00B96049">
        <w:rPr>
          <w:rFonts w:ascii="Arial" w:eastAsia="Times New Roman" w:hAnsi="Arial" w:cs="Arial"/>
          <w:color w:val="2F2F2F"/>
          <w:sz w:val="18"/>
          <w:szCs w:val="18"/>
          <w:lang w:eastAsia="es-MX"/>
        </w:rPr>
        <w:t>Embajada de India en México</w:t>
      </w:r>
    </w:p>
    <w:p w:rsidR="00B96049" w:rsidRPr="00B96049" w:rsidRDefault="00B96049" w:rsidP="00B96049">
      <w:pPr>
        <w:shd w:val="clear" w:color="auto" w:fill="FFFFFF"/>
        <w:spacing w:after="0" w:line="240" w:lineRule="auto"/>
        <w:jc w:val="both"/>
        <w:rPr>
          <w:rFonts w:ascii="Arial" w:eastAsia="Times New Roman" w:hAnsi="Arial" w:cs="Arial"/>
          <w:color w:val="2F2F2F"/>
          <w:sz w:val="18"/>
          <w:szCs w:val="18"/>
          <w:lang w:eastAsia="es-MX"/>
        </w:rPr>
      </w:pPr>
      <w:proofErr w:type="spellStart"/>
      <w:r w:rsidRPr="00B96049">
        <w:rPr>
          <w:rFonts w:ascii="Arial" w:eastAsia="Times New Roman" w:hAnsi="Arial" w:cs="Arial"/>
          <w:color w:val="2F2F2F"/>
          <w:sz w:val="18"/>
          <w:szCs w:val="18"/>
          <w:lang w:eastAsia="es-MX"/>
        </w:rPr>
        <w:t>Musset</w:t>
      </w:r>
      <w:proofErr w:type="spellEnd"/>
      <w:r w:rsidRPr="00B96049">
        <w:rPr>
          <w:rFonts w:ascii="Arial" w:eastAsia="Times New Roman" w:hAnsi="Arial" w:cs="Arial"/>
          <w:color w:val="2F2F2F"/>
          <w:sz w:val="18"/>
          <w:szCs w:val="18"/>
          <w:lang w:eastAsia="es-MX"/>
        </w:rPr>
        <w:t xml:space="preserve"> No. 325</w:t>
      </w:r>
    </w:p>
    <w:p w:rsidR="00B96049" w:rsidRPr="00B96049" w:rsidRDefault="00B96049" w:rsidP="00B96049">
      <w:pPr>
        <w:shd w:val="clear" w:color="auto" w:fill="FFFFFF"/>
        <w:spacing w:after="0" w:line="240" w:lineRule="auto"/>
        <w:jc w:val="both"/>
        <w:rPr>
          <w:rFonts w:ascii="Arial" w:eastAsia="Times New Roman" w:hAnsi="Arial" w:cs="Arial"/>
          <w:color w:val="2F2F2F"/>
          <w:sz w:val="18"/>
          <w:szCs w:val="18"/>
          <w:lang w:eastAsia="es-MX"/>
        </w:rPr>
      </w:pPr>
      <w:r w:rsidRPr="00B96049">
        <w:rPr>
          <w:rFonts w:ascii="Arial" w:eastAsia="Times New Roman" w:hAnsi="Arial" w:cs="Arial"/>
          <w:color w:val="2F2F2F"/>
          <w:sz w:val="18"/>
          <w:szCs w:val="18"/>
          <w:lang w:eastAsia="es-MX"/>
        </w:rPr>
        <w:t>Col. Polanco</w:t>
      </w:r>
    </w:p>
    <w:p w:rsidR="00B96049" w:rsidRPr="00B96049" w:rsidRDefault="00B96049" w:rsidP="00B96049">
      <w:pPr>
        <w:shd w:val="clear" w:color="auto" w:fill="FFFFFF"/>
        <w:spacing w:after="101" w:line="240" w:lineRule="auto"/>
        <w:jc w:val="both"/>
        <w:rPr>
          <w:rFonts w:ascii="Arial" w:eastAsia="Times New Roman" w:hAnsi="Arial" w:cs="Arial"/>
          <w:color w:val="2F2F2F"/>
          <w:sz w:val="18"/>
          <w:szCs w:val="18"/>
          <w:lang w:eastAsia="es-MX"/>
        </w:rPr>
      </w:pPr>
      <w:r w:rsidRPr="00B96049">
        <w:rPr>
          <w:rFonts w:ascii="Arial" w:eastAsia="Times New Roman" w:hAnsi="Arial" w:cs="Arial"/>
          <w:color w:val="2F2F2F"/>
          <w:sz w:val="18"/>
          <w:szCs w:val="18"/>
          <w:lang w:eastAsia="es-MX"/>
        </w:rPr>
        <w:t>C.P. 11560, Ciudad de México</w:t>
      </w:r>
    </w:p>
    <w:p w:rsidR="00B96049" w:rsidRPr="00B96049" w:rsidRDefault="00B96049" w:rsidP="00B9604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96049">
        <w:rPr>
          <w:rFonts w:ascii="Times" w:eastAsia="Times New Roman" w:hAnsi="Times" w:cs="Times New Roman"/>
          <w:b/>
          <w:bCs/>
          <w:color w:val="2F2F2F"/>
          <w:sz w:val="18"/>
          <w:szCs w:val="18"/>
          <w:lang w:eastAsia="es-MX"/>
        </w:rPr>
        <w:t>CONSIDERANDOS</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A. Competencia</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16.</w:t>
      </w:r>
      <w:r w:rsidRPr="00B96049">
        <w:rPr>
          <w:rFonts w:ascii="Arial" w:eastAsia="Times New Roman" w:hAnsi="Arial" w:cs="Arial"/>
          <w:color w:val="2F2F2F"/>
          <w:sz w:val="18"/>
          <w:szCs w:val="18"/>
          <w:lang w:eastAsia="es-MX"/>
        </w:rPr>
        <w:t> </w:t>
      </w:r>
      <w:r w:rsidRPr="00B96049">
        <w:rPr>
          <w:rFonts w:ascii="Arial" w:eastAsia="Times New Roman" w:hAnsi="Arial" w:cs="Arial"/>
          <w:color w:val="000000"/>
          <w:sz w:val="18"/>
          <w:szCs w:val="18"/>
          <w:lang w:eastAsia="es-MX"/>
        </w:rPr>
        <w:t>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11.3, 12.1 y 12.3 del Acuerdo relativo a la Aplicación del Artículo VI del Acuerdo General sobre Aranceles Aduaneros y Comercio de 1994 (el "Acuerdo Antidumping"); 21.3, 22.1 y 22.7 del Acuerdo sobre Subvenciones y Medidas Compensatorias (ASMC); 5 fracción VII, 70 fracción II, 70 B y 89 F de la Ley de Comercio Exterior, y 80 y 81 del Reglamento de la Ley de Comercio Exterior.</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B. Legislación aplicable</w:t>
      </w:r>
    </w:p>
    <w:p w:rsidR="00B96049" w:rsidRPr="00B96049" w:rsidRDefault="00B96049" w:rsidP="00B96049">
      <w:pPr>
        <w:shd w:val="clear" w:color="auto" w:fill="FFFFFF"/>
        <w:spacing w:after="101"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17.</w:t>
      </w:r>
      <w:r w:rsidRPr="00B96049">
        <w:rPr>
          <w:rFonts w:ascii="Arial" w:eastAsia="Times New Roman" w:hAnsi="Arial" w:cs="Arial"/>
          <w:color w:val="2F2F2F"/>
          <w:sz w:val="18"/>
          <w:szCs w:val="18"/>
          <w:lang w:eastAsia="es-MX"/>
        </w:rPr>
        <w:t> </w:t>
      </w:r>
      <w:r w:rsidRPr="00B96049">
        <w:rPr>
          <w:rFonts w:ascii="Arial" w:eastAsia="Times New Roman" w:hAnsi="Arial" w:cs="Arial"/>
          <w:color w:val="000000"/>
          <w:sz w:val="18"/>
          <w:szCs w:val="18"/>
          <w:lang w:eastAsia="es-MX"/>
        </w:rPr>
        <w:t>Para efectos de este procedimiento son aplicables el Acuerdo Antidumping, el ASMC, la Ley de Comercio Exterior, el Reglamento de la Ley de Comercio Exterior, el Código Fiscal de la Federación, la Ley Federal de Procedimiento Contencioso Administrativo, aplicada supletoriamente, de conformidad con el artículo Segundo Transitorio del Decreto por el que se expide dicha ley, así como el Código Federal de Procedimientos Civiles, estos tres últimos de aplicación supletoria.</w:t>
      </w:r>
    </w:p>
    <w:p w:rsidR="00B96049" w:rsidRPr="00B96049" w:rsidRDefault="00B96049" w:rsidP="00B96049">
      <w:pPr>
        <w:shd w:val="clear" w:color="auto" w:fill="FFFFFF"/>
        <w:spacing w:after="86"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lastRenderedPageBreak/>
        <w:t>C. Protección de la información confidencial</w:t>
      </w:r>
    </w:p>
    <w:p w:rsidR="00B96049" w:rsidRPr="00B96049" w:rsidRDefault="00B96049" w:rsidP="00B96049">
      <w:pPr>
        <w:shd w:val="clear" w:color="auto" w:fill="FFFFFF"/>
        <w:spacing w:after="86"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18.</w:t>
      </w:r>
      <w:r w:rsidRPr="00B96049">
        <w:rPr>
          <w:rFonts w:ascii="Arial" w:eastAsia="Times New Roman" w:hAnsi="Arial" w:cs="Arial"/>
          <w:color w:val="2F2F2F"/>
          <w:sz w:val="18"/>
          <w:szCs w:val="18"/>
          <w:lang w:eastAsia="es-MX"/>
        </w:rPr>
        <w:t> </w:t>
      </w:r>
      <w:r w:rsidRPr="00B96049">
        <w:rPr>
          <w:rFonts w:ascii="Arial" w:eastAsia="Times New Roman" w:hAnsi="Arial" w:cs="Arial"/>
          <w:color w:val="000000"/>
          <w:sz w:val="18"/>
          <w:szCs w:val="18"/>
          <w:lang w:eastAsia="es-MX"/>
        </w:rPr>
        <w:t>La Secretaría no puede revelar públicamente la información confidencial que las partes interesadas le presenten, ni la información confidencial de que ella misma se allegue, de conformidad con los artículos 6.5 del Acuerdo Antidumping, 12.4 del ASMC, 80 de la Ley de Comercio Exterior y 152 y 158 del Reglamento de la Ley de Comercio Exterior. No obstante, las partes interesadas podrán obtener el acceso a la información confidencial, siempre y cuando satisfagan los requisitos establecidos en los artículos 159 y 160 del Reglamento de la Ley de Comercio Exterior.</w:t>
      </w:r>
    </w:p>
    <w:p w:rsidR="00B96049" w:rsidRPr="00B96049" w:rsidRDefault="00B96049" w:rsidP="00B96049">
      <w:pPr>
        <w:shd w:val="clear" w:color="auto" w:fill="FFFFFF"/>
        <w:spacing w:after="86"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D. Legitimación para el inicio del examen de vigencia de cuota</w:t>
      </w:r>
    </w:p>
    <w:p w:rsidR="00B96049" w:rsidRPr="00B96049" w:rsidRDefault="00B96049" w:rsidP="00B96049">
      <w:pPr>
        <w:shd w:val="clear" w:color="auto" w:fill="FFFFFF"/>
        <w:spacing w:after="86"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19.</w:t>
      </w:r>
      <w:r w:rsidRPr="00B96049">
        <w:rPr>
          <w:rFonts w:ascii="Arial" w:eastAsia="Times New Roman" w:hAnsi="Arial" w:cs="Arial"/>
          <w:color w:val="2F2F2F"/>
          <w:sz w:val="18"/>
          <w:szCs w:val="18"/>
          <w:lang w:eastAsia="es-MX"/>
        </w:rPr>
        <w:t> </w:t>
      </w:r>
      <w:r w:rsidRPr="00B96049">
        <w:rPr>
          <w:rFonts w:ascii="Arial" w:eastAsia="Times New Roman" w:hAnsi="Arial" w:cs="Arial"/>
          <w:color w:val="000000"/>
          <w:sz w:val="18"/>
          <w:szCs w:val="18"/>
          <w:lang w:eastAsia="es-MX"/>
        </w:rPr>
        <w:t>Conforme a los artículos 11.3 del Acuerdo Antidumping, 21.3 del ASMC, 70 fracción II y 70 B de la Ley de Comercio Exterior,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B96049" w:rsidRPr="00B96049" w:rsidRDefault="00B96049" w:rsidP="00B96049">
      <w:pPr>
        <w:shd w:val="clear" w:color="auto" w:fill="FFFFFF"/>
        <w:spacing w:after="86"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20.</w:t>
      </w:r>
      <w:r w:rsidRPr="00B96049">
        <w:rPr>
          <w:rFonts w:ascii="Arial" w:eastAsia="Times New Roman" w:hAnsi="Arial" w:cs="Arial"/>
          <w:color w:val="2F2F2F"/>
          <w:sz w:val="18"/>
          <w:szCs w:val="18"/>
          <w:lang w:eastAsia="es-MX"/>
        </w:rPr>
        <w:t> </w:t>
      </w:r>
      <w:r w:rsidRPr="00B96049">
        <w:rPr>
          <w:rFonts w:ascii="Arial" w:eastAsia="Times New Roman" w:hAnsi="Arial" w:cs="Arial"/>
          <w:color w:val="000000"/>
          <w:sz w:val="18"/>
          <w:szCs w:val="18"/>
          <w:lang w:eastAsia="es-MX"/>
        </w:rPr>
        <w:t xml:space="preserve">En el presente caso, </w:t>
      </w:r>
      <w:proofErr w:type="spellStart"/>
      <w:r w:rsidRPr="00B96049">
        <w:rPr>
          <w:rFonts w:ascii="Arial" w:eastAsia="Times New Roman" w:hAnsi="Arial" w:cs="Arial"/>
          <w:color w:val="000000"/>
          <w:sz w:val="18"/>
          <w:szCs w:val="18"/>
          <w:lang w:eastAsia="es-MX"/>
        </w:rPr>
        <w:t>Fersinsa</w:t>
      </w:r>
      <w:proofErr w:type="spellEnd"/>
      <w:r w:rsidRPr="00B96049">
        <w:rPr>
          <w:rFonts w:ascii="Arial" w:eastAsia="Times New Roman" w:hAnsi="Arial" w:cs="Arial"/>
          <w:color w:val="000000"/>
          <w:sz w:val="18"/>
          <w:szCs w:val="18"/>
          <w:lang w:eastAsia="es-MX"/>
        </w:rPr>
        <w:t>, en su calidad de productor nacional del producto objeto de examen, manifestó en tiempo y forma su interés en que se inicie el examen de vigencia de la cuota compensatoria definitiva, impuesta a las importaciones de amoxicilina de India, por lo que se actualizan los supuestos previstos en la legislación de la materia y, en consecuencia, procede iniciarlo.</w:t>
      </w:r>
    </w:p>
    <w:p w:rsidR="00B96049" w:rsidRPr="00B96049" w:rsidRDefault="00B96049" w:rsidP="00B96049">
      <w:pPr>
        <w:shd w:val="clear" w:color="auto" w:fill="FFFFFF"/>
        <w:spacing w:after="86"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E. Periodo de examen y de análisis</w:t>
      </w:r>
    </w:p>
    <w:p w:rsidR="00B96049" w:rsidRPr="00B96049" w:rsidRDefault="00B96049" w:rsidP="00B96049">
      <w:pPr>
        <w:shd w:val="clear" w:color="auto" w:fill="FFFFFF"/>
        <w:spacing w:after="86"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21.</w:t>
      </w:r>
      <w:r w:rsidRPr="00B96049">
        <w:rPr>
          <w:rFonts w:ascii="Arial" w:eastAsia="Times New Roman" w:hAnsi="Arial" w:cs="Arial"/>
          <w:color w:val="2F2F2F"/>
          <w:sz w:val="18"/>
          <w:szCs w:val="18"/>
          <w:lang w:eastAsia="es-MX"/>
        </w:rPr>
        <w:t> </w:t>
      </w:r>
      <w:r w:rsidRPr="00B96049">
        <w:rPr>
          <w:rFonts w:ascii="Arial" w:eastAsia="Times New Roman" w:hAnsi="Arial" w:cs="Arial"/>
          <w:color w:val="000000"/>
          <w:sz w:val="18"/>
          <w:szCs w:val="18"/>
          <w:lang w:eastAsia="es-MX"/>
        </w:rPr>
        <w:t xml:space="preserve">La Secretaría determina fijar como periodo de examen el propuesto por </w:t>
      </w:r>
      <w:proofErr w:type="spellStart"/>
      <w:r w:rsidRPr="00B96049">
        <w:rPr>
          <w:rFonts w:ascii="Arial" w:eastAsia="Times New Roman" w:hAnsi="Arial" w:cs="Arial"/>
          <w:color w:val="000000"/>
          <w:sz w:val="18"/>
          <w:szCs w:val="18"/>
          <w:lang w:eastAsia="es-MX"/>
        </w:rPr>
        <w:t>Fersinsa</w:t>
      </w:r>
      <w:proofErr w:type="spellEnd"/>
      <w:r w:rsidRPr="00B96049">
        <w:rPr>
          <w:rFonts w:ascii="Arial" w:eastAsia="Times New Roman" w:hAnsi="Arial" w:cs="Arial"/>
          <w:color w:val="000000"/>
          <w:sz w:val="18"/>
          <w:szCs w:val="18"/>
          <w:lang w:eastAsia="es-MX"/>
        </w:rPr>
        <w:t>, comprendido del </w:t>
      </w:r>
      <w:r w:rsidRPr="00B96049">
        <w:rPr>
          <w:rFonts w:ascii="Arial" w:eastAsia="Times New Roman" w:hAnsi="Arial" w:cs="Arial"/>
          <w:color w:val="2F2F2F"/>
          <w:sz w:val="18"/>
          <w:szCs w:val="18"/>
          <w:lang w:eastAsia="es-MX"/>
        </w:rPr>
        <w:t>1 de octubre de 2021 al 30 de septiembre de 2022</w:t>
      </w:r>
      <w:r w:rsidRPr="00B96049">
        <w:rPr>
          <w:rFonts w:ascii="Arial" w:eastAsia="Times New Roman" w:hAnsi="Arial" w:cs="Arial"/>
          <w:color w:val="000000"/>
          <w:sz w:val="18"/>
          <w:szCs w:val="18"/>
          <w:lang w:eastAsia="es-MX"/>
        </w:rPr>
        <w:t> y como periodo de análisis el comprendido del </w:t>
      </w:r>
      <w:r w:rsidRPr="00B96049">
        <w:rPr>
          <w:rFonts w:ascii="Arial" w:eastAsia="Times New Roman" w:hAnsi="Arial" w:cs="Arial"/>
          <w:color w:val="2F2F2F"/>
          <w:sz w:val="18"/>
          <w:szCs w:val="18"/>
          <w:lang w:eastAsia="es-MX"/>
        </w:rPr>
        <w:t>1 de octubre de 2017 al 30 de septiembre de 2022</w:t>
      </w:r>
      <w:r w:rsidRPr="00B96049">
        <w:rPr>
          <w:rFonts w:ascii="Arial" w:eastAsia="Times New Roman" w:hAnsi="Arial" w:cs="Arial"/>
          <w:color w:val="000000"/>
          <w:sz w:val="18"/>
          <w:szCs w:val="18"/>
          <w:lang w:eastAsia="es-MX"/>
        </w:rPr>
        <w:t>, toda vez que éstos se apegan a lo previsto en el artículo 76 del Reglamento de la Ley de Comercio Exterior y a la recomendación del Comité de Prácticas Antidumping de la Organización Mundial</w:t>
      </w:r>
      <w:r w:rsidRPr="00B96049">
        <w:rPr>
          <w:rFonts w:ascii="Arial" w:eastAsia="Times New Roman" w:hAnsi="Arial" w:cs="Arial"/>
          <w:color w:val="2F2F2F"/>
          <w:sz w:val="18"/>
          <w:szCs w:val="18"/>
          <w:lang w:eastAsia="es-MX"/>
        </w:rPr>
        <w:t> del Comercio (documento G/ADP/6 adoptado el 5 de mayo de 2000).</w:t>
      </w:r>
    </w:p>
    <w:p w:rsidR="00B96049" w:rsidRPr="00B96049" w:rsidRDefault="00B96049" w:rsidP="00B96049">
      <w:pPr>
        <w:shd w:val="clear" w:color="auto" w:fill="FFFFFF"/>
        <w:spacing w:after="86"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22.</w:t>
      </w:r>
      <w:r w:rsidRPr="00B96049">
        <w:rPr>
          <w:rFonts w:ascii="Arial" w:eastAsia="Times New Roman" w:hAnsi="Arial" w:cs="Arial"/>
          <w:color w:val="2F2F2F"/>
          <w:sz w:val="18"/>
          <w:szCs w:val="18"/>
          <w:lang w:eastAsia="es-MX"/>
        </w:rPr>
        <w:t> </w:t>
      </w:r>
      <w:r w:rsidRPr="00B96049">
        <w:rPr>
          <w:rFonts w:ascii="Arial" w:eastAsia="Times New Roman" w:hAnsi="Arial" w:cs="Arial"/>
          <w:color w:val="000000"/>
          <w:sz w:val="18"/>
          <w:szCs w:val="18"/>
          <w:lang w:eastAsia="es-MX"/>
        </w:rPr>
        <w:t xml:space="preserve">Por lo expuesto, con fundamento en los artículos 11.1 y 11.3 del Acuerdo Antidumping, 21.1 y 21.3 del ASMC y 67, 70 </w:t>
      </w:r>
      <w:proofErr w:type="gramStart"/>
      <w:r w:rsidRPr="00B96049">
        <w:rPr>
          <w:rFonts w:ascii="Arial" w:eastAsia="Times New Roman" w:hAnsi="Arial" w:cs="Arial"/>
          <w:color w:val="000000"/>
          <w:sz w:val="18"/>
          <w:szCs w:val="18"/>
          <w:lang w:eastAsia="es-MX"/>
        </w:rPr>
        <w:t>fracción</w:t>
      </w:r>
      <w:proofErr w:type="gramEnd"/>
      <w:r w:rsidRPr="00B96049">
        <w:rPr>
          <w:rFonts w:ascii="Arial" w:eastAsia="Times New Roman" w:hAnsi="Arial" w:cs="Arial"/>
          <w:color w:val="000000"/>
          <w:sz w:val="18"/>
          <w:szCs w:val="18"/>
          <w:lang w:eastAsia="es-MX"/>
        </w:rPr>
        <w:t xml:space="preserve"> II, 70 B y 89 F de la Ley de Comercio Exterior, se emite la siguiente</w:t>
      </w:r>
    </w:p>
    <w:p w:rsidR="00B96049" w:rsidRPr="00B96049" w:rsidRDefault="00B96049" w:rsidP="00B96049">
      <w:pPr>
        <w:shd w:val="clear" w:color="auto" w:fill="FFFFFF"/>
        <w:spacing w:after="86" w:line="240" w:lineRule="auto"/>
        <w:jc w:val="center"/>
        <w:rPr>
          <w:rFonts w:ascii="Times New Roman" w:eastAsia="Times New Roman" w:hAnsi="Times New Roman" w:cs="Times New Roman"/>
          <w:b/>
          <w:bCs/>
          <w:color w:val="2F2F2F"/>
          <w:sz w:val="18"/>
          <w:szCs w:val="18"/>
          <w:lang w:eastAsia="es-MX"/>
        </w:rPr>
      </w:pPr>
      <w:r w:rsidRPr="00B96049">
        <w:rPr>
          <w:rFonts w:ascii="Times" w:eastAsia="Times New Roman" w:hAnsi="Times" w:cs="Times New Roman"/>
          <w:b/>
          <w:bCs/>
          <w:color w:val="2F2F2F"/>
          <w:sz w:val="18"/>
          <w:szCs w:val="18"/>
          <w:lang w:eastAsia="es-MX"/>
        </w:rPr>
        <w:t>RESOLUCIÓN</w:t>
      </w:r>
    </w:p>
    <w:p w:rsidR="00B96049" w:rsidRPr="00B96049" w:rsidRDefault="00B96049" w:rsidP="00B96049">
      <w:pPr>
        <w:shd w:val="clear" w:color="auto" w:fill="FFFFFF"/>
        <w:spacing w:after="86"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23.</w:t>
      </w:r>
      <w:r w:rsidRPr="00B96049">
        <w:rPr>
          <w:rFonts w:ascii="Arial" w:eastAsia="Times New Roman" w:hAnsi="Arial" w:cs="Arial"/>
          <w:color w:val="2F2F2F"/>
          <w:sz w:val="18"/>
          <w:szCs w:val="18"/>
          <w:lang w:eastAsia="es-MX"/>
        </w:rPr>
        <w:t> </w:t>
      </w:r>
      <w:r w:rsidRPr="00B96049">
        <w:rPr>
          <w:rFonts w:ascii="Arial" w:eastAsia="Times New Roman" w:hAnsi="Arial" w:cs="Arial"/>
          <w:color w:val="000000"/>
          <w:sz w:val="18"/>
          <w:szCs w:val="18"/>
          <w:lang w:eastAsia="es-MX"/>
        </w:rPr>
        <w:t>Se declara el inicio del procedimiento administrativo de examen de vigencia de la cuota compensatoria definitiva impuesta a las importaciones de amoxicilina originarias de India, independientemente del país de procedencia, </w:t>
      </w:r>
      <w:r w:rsidRPr="00B96049">
        <w:rPr>
          <w:rFonts w:ascii="Arial" w:eastAsia="Times New Roman" w:hAnsi="Arial" w:cs="Arial"/>
          <w:color w:val="2F2F2F"/>
          <w:sz w:val="18"/>
          <w:szCs w:val="18"/>
          <w:lang w:eastAsia="es-MX"/>
        </w:rPr>
        <w:t>que ingresan a través de la fracción arancelaria 2941.10.12 de la TIGIE, o por cualquier otra.</w:t>
      </w:r>
    </w:p>
    <w:p w:rsidR="00B96049" w:rsidRPr="00B96049" w:rsidRDefault="00B96049" w:rsidP="00B96049">
      <w:pPr>
        <w:shd w:val="clear" w:color="auto" w:fill="FFFFFF"/>
        <w:spacing w:after="86"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24.</w:t>
      </w:r>
      <w:r w:rsidRPr="00B96049">
        <w:rPr>
          <w:rFonts w:ascii="Arial" w:eastAsia="Times New Roman" w:hAnsi="Arial" w:cs="Arial"/>
          <w:color w:val="2F2F2F"/>
          <w:sz w:val="18"/>
          <w:szCs w:val="18"/>
          <w:lang w:eastAsia="es-MX"/>
        </w:rPr>
        <w:t> Se fija como periodo de examen el comprendido del 1 de octubre de 2021 al 30 de septiembre de 2022</w:t>
      </w:r>
      <w:r w:rsidRPr="00B96049">
        <w:rPr>
          <w:rFonts w:ascii="Arial" w:eastAsia="Times New Roman" w:hAnsi="Arial" w:cs="Arial"/>
          <w:color w:val="000000"/>
          <w:sz w:val="18"/>
          <w:szCs w:val="18"/>
          <w:lang w:eastAsia="es-MX"/>
        </w:rPr>
        <w:t> y como periodo de análisis el comprendido del </w:t>
      </w:r>
      <w:r w:rsidRPr="00B96049">
        <w:rPr>
          <w:rFonts w:ascii="Arial" w:eastAsia="Times New Roman" w:hAnsi="Arial" w:cs="Arial"/>
          <w:color w:val="2F2F2F"/>
          <w:sz w:val="18"/>
          <w:szCs w:val="18"/>
          <w:lang w:eastAsia="es-MX"/>
        </w:rPr>
        <w:t>1 de octubre de 2017 al 30 de septiembre de 2022.</w:t>
      </w:r>
    </w:p>
    <w:p w:rsidR="00B96049" w:rsidRPr="00B96049" w:rsidRDefault="00B96049" w:rsidP="00B96049">
      <w:pPr>
        <w:shd w:val="clear" w:color="auto" w:fill="FFFFFF"/>
        <w:spacing w:after="86"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25.</w:t>
      </w:r>
      <w:r w:rsidRPr="00B96049">
        <w:rPr>
          <w:rFonts w:ascii="Arial" w:eastAsia="Times New Roman" w:hAnsi="Arial" w:cs="Arial"/>
          <w:color w:val="2F2F2F"/>
          <w:sz w:val="18"/>
          <w:szCs w:val="18"/>
          <w:lang w:eastAsia="es-MX"/>
        </w:rPr>
        <w:t> </w:t>
      </w:r>
      <w:r w:rsidRPr="00B96049">
        <w:rPr>
          <w:rFonts w:ascii="Arial" w:eastAsia="Times New Roman" w:hAnsi="Arial" w:cs="Arial"/>
          <w:color w:val="000000"/>
          <w:sz w:val="18"/>
          <w:szCs w:val="18"/>
          <w:lang w:eastAsia="es-MX"/>
        </w:rPr>
        <w:t>Conforme a lo establecido en los artículos 11.3 del Acuerdo Antidumping, 21.3 del ASMC, 70 fracción II y 89 F de la Ley de Comercio Exterior, así como 94 del Reglamento de la Ley de Comercio Exterior, la cuota compensatoria definitiva a que se refiere el punto 1 de la presente Resolución, continuará vigente mientras se tramita el presente procedimiento de examen de vigencia.</w:t>
      </w:r>
    </w:p>
    <w:p w:rsidR="00B96049" w:rsidRPr="00B96049" w:rsidRDefault="00B96049" w:rsidP="00B96049">
      <w:pPr>
        <w:shd w:val="clear" w:color="auto" w:fill="FFFFFF"/>
        <w:spacing w:after="86"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26.</w:t>
      </w:r>
      <w:r w:rsidRPr="00B96049">
        <w:rPr>
          <w:rFonts w:ascii="Arial" w:eastAsia="Times New Roman" w:hAnsi="Arial" w:cs="Arial"/>
          <w:color w:val="2F2F2F"/>
          <w:sz w:val="18"/>
          <w:szCs w:val="18"/>
          <w:lang w:eastAsia="es-MX"/>
        </w:rPr>
        <w:t> De conformidad con los artículos 6.1 y 11.4 del Acuerdo Antidumping, 12.1 y 21.4 del ASMC y 3 último párrafo y 89 F de la Ley de Comercio Exterior,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para tal efecto, así como los argumentos y las pruebas que consideren convenientes. El plazo de veintiocho días hábiles se contará a partir del día siguiente de la publicación en el DOF de la presente Resolución. La presentación de la información podrá realizarse en forma física de las 9:00 a las 14:00 horas en el domicilio ubicado en Insurgentes Sur 1940, Colonia Florida, C.P. 01030, Ciudad de México, o conforme a lo dispuesto en el "Acuerdo por el que se establecen medidas administrativas en la Secretaría de Economía con el objeto de brindar facilidades a los usuarios de los trámites y procedimientos que se indican", publicado en el DOF el 4 de agosto de 2021.</w:t>
      </w:r>
    </w:p>
    <w:p w:rsidR="00B96049" w:rsidRPr="00B96049" w:rsidRDefault="00B96049" w:rsidP="00B96049">
      <w:pPr>
        <w:shd w:val="clear" w:color="auto" w:fill="FFFFFF"/>
        <w:spacing w:after="86"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27</w:t>
      </w:r>
      <w:r w:rsidRPr="00B96049">
        <w:rPr>
          <w:rFonts w:ascii="Arial" w:eastAsia="Times New Roman" w:hAnsi="Arial" w:cs="Arial"/>
          <w:color w:val="2F2F2F"/>
          <w:sz w:val="18"/>
          <w:szCs w:val="18"/>
          <w:lang w:eastAsia="es-MX"/>
        </w:rPr>
        <w:t>. El formulario oficial a que se refiere el punto anterior, se podrá obtener a través de la página de Internet https</w:t>
      </w:r>
      <w:proofErr w:type="gramStart"/>
      <w:r w:rsidRPr="00B96049">
        <w:rPr>
          <w:rFonts w:ascii="Arial" w:eastAsia="Times New Roman" w:hAnsi="Arial" w:cs="Arial"/>
          <w:color w:val="2F2F2F"/>
          <w:sz w:val="18"/>
          <w:szCs w:val="18"/>
          <w:lang w:eastAsia="es-MX"/>
        </w:rPr>
        <w:t>:/</w:t>
      </w:r>
      <w:proofErr w:type="gramEnd"/>
      <w:r w:rsidRPr="00B96049">
        <w:rPr>
          <w:rFonts w:ascii="Arial" w:eastAsia="Times New Roman" w:hAnsi="Arial" w:cs="Arial"/>
          <w:color w:val="2F2F2F"/>
          <w:sz w:val="18"/>
          <w:szCs w:val="18"/>
          <w:lang w:eastAsia="es-MX"/>
        </w:rPr>
        <w:t>/www.gob.mx/se/acciones-y-programas/industria-y-comercio-unidad-de-practicas-comerciales-internacionales-upci., asimismo, se podrá solicitar a través de la cuenta de correo electrónico upci@economia.gob.mx.</w:t>
      </w:r>
    </w:p>
    <w:p w:rsidR="00B96049" w:rsidRPr="00B96049" w:rsidRDefault="00B96049" w:rsidP="00B96049">
      <w:pPr>
        <w:shd w:val="clear" w:color="auto" w:fill="FFFFFF"/>
        <w:spacing w:after="86"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28.</w:t>
      </w:r>
      <w:r w:rsidRPr="00B96049">
        <w:rPr>
          <w:rFonts w:ascii="Arial" w:eastAsia="Times New Roman" w:hAnsi="Arial" w:cs="Arial"/>
          <w:color w:val="2F2F2F"/>
          <w:sz w:val="18"/>
          <w:szCs w:val="18"/>
          <w:lang w:eastAsia="es-MX"/>
        </w:rPr>
        <w:t> </w:t>
      </w:r>
      <w:r w:rsidRPr="00B96049">
        <w:rPr>
          <w:rFonts w:ascii="Arial" w:eastAsia="Times New Roman" w:hAnsi="Arial" w:cs="Arial"/>
          <w:color w:val="000000"/>
          <w:sz w:val="18"/>
          <w:szCs w:val="18"/>
          <w:lang w:eastAsia="es-MX"/>
        </w:rPr>
        <w:t>Notifíquese la presente Resolución a las partes de que se tenga conocimiento.</w:t>
      </w:r>
    </w:p>
    <w:p w:rsidR="00B96049" w:rsidRPr="00B96049" w:rsidRDefault="00B96049" w:rsidP="00B96049">
      <w:pPr>
        <w:shd w:val="clear" w:color="auto" w:fill="FFFFFF"/>
        <w:spacing w:after="86"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29.</w:t>
      </w:r>
      <w:r w:rsidRPr="00B96049">
        <w:rPr>
          <w:rFonts w:ascii="Arial" w:eastAsia="Times New Roman" w:hAnsi="Arial" w:cs="Arial"/>
          <w:color w:val="2F2F2F"/>
          <w:sz w:val="18"/>
          <w:szCs w:val="18"/>
          <w:lang w:eastAsia="es-MX"/>
        </w:rPr>
        <w:t> </w:t>
      </w:r>
      <w:r w:rsidRPr="00B96049">
        <w:rPr>
          <w:rFonts w:ascii="Arial" w:eastAsia="Times New Roman" w:hAnsi="Arial" w:cs="Arial"/>
          <w:color w:val="000000"/>
          <w:sz w:val="18"/>
          <w:szCs w:val="18"/>
          <w:lang w:eastAsia="es-MX"/>
        </w:rPr>
        <w:t>Comuníquese esta Resolución a la Agencia Nacional de Aduanas de México, para los efectos legales correspondientes.</w:t>
      </w:r>
    </w:p>
    <w:p w:rsidR="00B96049" w:rsidRPr="00B96049" w:rsidRDefault="00B96049" w:rsidP="00B96049">
      <w:pPr>
        <w:shd w:val="clear" w:color="auto" w:fill="FFFFFF"/>
        <w:spacing w:after="86"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b/>
          <w:bCs/>
          <w:color w:val="2F2F2F"/>
          <w:sz w:val="18"/>
          <w:szCs w:val="18"/>
          <w:lang w:eastAsia="es-MX"/>
        </w:rPr>
        <w:t>30.</w:t>
      </w:r>
      <w:r w:rsidRPr="00B96049">
        <w:rPr>
          <w:rFonts w:ascii="Arial" w:eastAsia="Times New Roman" w:hAnsi="Arial" w:cs="Arial"/>
          <w:color w:val="2F2F2F"/>
          <w:sz w:val="18"/>
          <w:szCs w:val="18"/>
          <w:lang w:eastAsia="es-MX"/>
        </w:rPr>
        <w:t> </w:t>
      </w:r>
      <w:r w:rsidRPr="00B96049">
        <w:rPr>
          <w:rFonts w:ascii="Arial" w:eastAsia="Times New Roman" w:hAnsi="Arial" w:cs="Arial"/>
          <w:color w:val="000000"/>
          <w:sz w:val="18"/>
          <w:szCs w:val="18"/>
          <w:lang w:eastAsia="es-MX"/>
        </w:rPr>
        <w:t>La presente Resolución entrará en vigor al día siguiente de su publicación en el DOF.</w:t>
      </w:r>
    </w:p>
    <w:p w:rsidR="00B96049" w:rsidRPr="00B96049" w:rsidRDefault="00B96049" w:rsidP="00B96049">
      <w:pPr>
        <w:shd w:val="clear" w:color="auto" w:fill="FFFFFF"/>
        <w:spacing w:after="86" w:line="240" w:lineRule="auto"/>
        <w:ind w:firstLine="288"/>
        <w:jc w:val="both"/>
        <w:rPr>
          <w:rFonts w:ascii="Arial" w:eastAsia="Times New Roman" w:hAnsi="Arial" w:cs="Arial"/>
          <w:color w:val="2F2F2F"/>
          <w:sz w:val="18"/>
          <w:szCs w:val="18"/>
          <w:lang w:eastAsia="es-MX"/>
        </w:rPr>
      </w:pPr>
      <w:r w:rsidRPr="00B96049">
        <w:rPr>
          <w:rFonts w:ascii="Arial" w:eastAsia="Times New Roman" w:hAnsi="Arial" w:cs="Arial"/>
          <w:color w:val="2F2F2F"/>
          <w:sz w:val="18"/>
          <w:szCs w:val="18"/>
          <w:lang w:eastAsia="es-MX"/>
        </w:rPr>
        <w:lastRenderedPageBreak/>
        <w:t>Ciudad de México, a 14 de noviembre de 2022.- La Secretaria de Economía, </w:t>
      </w:r>
      <w:r w:rsidRPr="00B96049">
        <w:rPr>
          <w:rFonts w:ascii="Arial" w:eastAsia="Times New Roman" w:hAnsi="Arial" w:cs="Arial"/>
          <w:b/>
          <w:bCs/>
          <w:color w:val="2F2F2F"/>
          <w:sz w:val="18"/>
          <w:szCs w:val="18"/>
          <w:lang w:eastAsia="es-MX"/>
        </w:rPr>
        <w:t>Raquel Buenrostro Sánchez</w:t>
      </w:r>
      <w:r w:rsidRPr="00B96049">
        <w:rPr>
          <w:rFonts w:ascii="Arial" w:eastAsia="Times New Roman" w:hAnsi="Arial" w:cs="Arial"/>
          <w:color w:val="2F2F2F"/>
          <w:sz w:val="18"/>
          <w:szCs w:val="18"/>
          <w:lang w:eastAsia="es-MX"/>
        </w:rPr>
        <w:t>.- Rúbrica.</w:t>
      </w:r>
    </w:p>
    <w:p w:rsidR="00460282" w:rsidRDefault="00460282"/>
    <w:sectPr w:rsidR="004602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049"/>
    <w:rsid w:val="00460282"/>
    <w:rsid w:val="00B960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0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0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474960">
      <w:bodyDiv w:val="1"/>
      <w:marLeft w:val="0"/>
      <w:marRight w:val="0"/>
      <w:marTop w:val="0"/>
      <w:marBottom w:val="0"/>
      <w:divBdr>
        <w:top w:val="none" w:sz="0" w:space="0" w:color="auto"/>
        <w:left w:val="none" w:sz="0" w:space="0" w:color="auto"/>
        <w:bottom w:val="none" w:sz="0" w:space="0" w:color="auto"/>
        <w:right w:val="none" w:sz="0" w:space="0" w:color="auto"/>
      </w:divBdr>
      <w:divsChild>
        <w:div w:id="1808431046">
          <w:marLeft w:val="0"/>
          <w:marRight w:val="0"/>
          <w:marTop w:val="0"/>
          <w:marBottom w:val="101"/>
          <w:divBdr>
            <w:top w:val="none" w:sz="0" w:space="0" w:color="auto"/>
            <w:left w:val="none" w:sz="0" w:space="0" w:color="auto"/>
            <w:bottom w:val="none" w:sz="0" w:space="0" w:color="auto"/>
            <w:right w:val="none" w:sz="0" w:space="0" w:color="auto"/>
          </w:divBdr>
        </w:div>
        <w:div w:id="622616540">
          <w:marLeft w:val="0"/>
          <w:marRight w:val="0"/>
          <w:marTop w:val="0"/>
          <w:marBottom w:val="101"/>
          <w:divBdr>
            <w:top w:val="none" w:sz="0" w:space="0" w:color="auto"/>
            <w:left w:val="none" w:sz="0" w:space="0" w:color="auto"/>
            <w:bottom w:val="none" w:sz="0" w:space="0" w:color="auto"/>
            <w:right w:val="none" w:sz="0" w:space="0" w:color="auto"/>
          </w:divBdr>
        </w:div>
        <w:div w:id="512695372">
          <w:marLeft w:val="0"/>
          <w:marRight w:val="0"/>
          <w:marTop w:val="101"/>
          <w:marBottom w:val="101"/>
          <w:divBdr>
            <w:top w:val="none" w:sz="0" w:space="0" w:color="auto"/>
            <w:left w:val="none" w:sz="0" w:space="0" w:color="auto"/>
            <w:bottom w:val="none" w:sz="0" w:space="0" w:color="auto"/>
            <w:right w:val="none" w:sz="0" w:space="0" w:color="auto"/>
          </w:divBdr>
        </w:div>
        <w:div w:id="691348136">
          <w:marLeft w:val="0"/>
          <w:marRight w:val="0"/>
          <w:marTop w:val="0"/>
          <w:marBottom w:val="101"/>
          <w:divBdr>
            <w:top w:val="none" w:sz="0" w:space="0" w:color="auto"/>
            <w:left w:val="none" w:sz="0" w:space="0" w:color="auto"/>
            <w:bottom w:val="none" w:sz="0" w:space="0" w:color="auto"/>
            <w:right w:val="none" w:sz="0" w:space="0" w:color="auto"/>
          </w:divBdr>
        </w:div>
        <w:div w:id="145631905">
          <w:marLeft w:val="0"/>
          <w:marRight w:val="0"/>
          <w:marTop w:val="0"/>
          <w:marBottom w:val="101"/>
          <w:divBdr>
            <w:top w:val="none" w:sz="0" w:space="0" w:color="auto"/>
            <w:left w:val="none" w:sz="0" w:space="0" w:color="auto"/>
            <w:bottom w:val="none" w:sz="0" w:space="0" w:color="auto"/>
            <w:right w:val="none" w:sz="0" w:space="0" w:color="auto"/>
          </w:divBdr>
        </w:div>
        <w:div w:id="1764523027">
          <w:marLeft w:val="0"/>
          <w:marRight w:val="0"/>
          <w:marTop w:val="0"/>
          <w:marBottom w:val="101"/>
          <w:divBdr>
            <w:top w:val="none" w:sz="0" w:space="0" w:color="auto"/>
            <w:left w:val="none" w:sz="0" w:space="0" w:color="auto"/>
            <w:bottom w:val="none" w:sz="0" w:space="0" w:color="auto"/>
            <w:right w:val="none" w:sz="0" w:space="0" w:color="auto"/>
          </w:divBdr>
        </w:div>
        <w:div w:id="453524996">
          <w:marLeft w:val="0"/>
          <w:marRight w:val="0"/>
          <w:marTop w:val="0"/>
          <w:marBottom w:val="101"/>
          <w:divBdr>
            <w:top w:val="none" w:sz="0" w:space="0" w:color="auto"/>
            <w:left w:val="none" w:sz="0" w:space="0" w:color="auto"/>
            <w:bottom w:val="none" w:sz="0" w:space="0" w:color="auto"/>
            <w:right w:val="none" w:sz="0" w:space="0" w:color="auto"/>
          </w:divBdr>
        </w:div>
        <w:div w:id="757292433">
          <w:marLeft w:val="0"/>
          <w:marRight w:val="0"/>
          <w:marTop w:val="0"/>
          <w:marBottom w:val="101"/>
          <w:divBdr>
            <w:top w:val="none" w:sz="0" w:space="0" w:color="auto"/>
            <w:left w:val="none" w:sz="0" w:space="0" w:color="auto"/>
            <w:bottom w:val="none" w:sz="0" w:space="0" w:color="auto"/>
            <w:right w:val="none" w:sz="0" w:space="0" w:color="auto"/>
          </w:divBdr>
        </w:div>
        <w:div w:id="945498237">
          <w:marLeft w:val="0"/>
          <w:marRight w:val="0"/>
          <w:marTop w:val="0"/>
          <w:marBottom w:val="101"/>
          <w:divBdr>
            <w:top w:val="none" w:sz="0" w:space="0" w:color="auto"/>
            <w:left w:val="none" w:sz="0" w:space="0" w:color="auto"/>
            <w:bottom w:val="none" w:sz="0" w:space="0" w:color="auto"/>
            <w:right w:val="none" w:sz="0" w:space="0" w:color="auto"/>
          </w:divBdr>
        </w:div>
        <w:div w:id="1524055413">
          <w:marLeft w:val="0"/>
          <w:marRight w:val="0"/>
          <w:marTop w:val="0"/>
          <w:marBottom w:val="101"/>
          <w:divBdr>
            <w:top w:val="none" w:sz="0" w:space="0" w:color="auto"/>
            <w:left w:val="none" w:sz="0" w:space="0" w:color="auto"/>
            <w:bottom w:val="none" w:sz="0" w:space="0" w:color="auto"/>
            <w:right w:val="none" w:sz="0" w:space="0" w:color="auto"/>
          </w:divBdr>
        </w:div>
        <w:div w:id="1414661463">
          <w:marLeft w:val="0"/>
          <w:marRight w:val="0"/>
          <w:marTop w:val="0"/>
          <w:marBottom w:val="101"/>
          <w:divBdr>
            <w:top w:val="none" w:sz="0" w:space="0" w:color="auto"/>
            <w:left w:val="none" w:sz="0" w:space="0" w:color="auto"/>
            <w:bottom w:val="none" w:sz="0" w:space="0" w:color="auto"/>
            <w:right w:val="none" w:sz="0" w:space="0" w:color="auto"/>
          </w:divBdr>
        </w:div>
        <w:div w:id="1926844901">
          <w:marLeft w:val="0"/>
          <w:marRight w:val="0"/>
          <w:marTop w:val="0"/>
          <w:marBottom w:val="101"/>
          <w:divBdr>
            <w:top w:val="none" w:sz="0" w:space="0" w:color="auto"/>
            <w:left w:val="none" w:sz="0" w:space="0" w:color="auto"/>
            <w:bottom w:val="none" w:sz="0" w:space="0" w:color="auto"/>
            <w:right w:val="none" w:sz="0" w:space="0" w:color="auto"/>
          </w:divBdr>
        </w:div>
        <w:div w:id="1489832748">
          <w:marLeft w:val="0"/>
          <w:marRight w:val="0"/>
          <w:marTop w:val="0"/>
          <w:marBottom w:val="101"/>
          <w:divBdr>
            <w:top w:val="none" w:sz="0" w:space="0" w:color="auto"/>
            <w:left w:val="none" w:sz="0" w:space="0" w:color="auto"/>
            <w:bottom w:val="none" w:sz="0" w:space="0" w:color="auto"/>
            <w:right w:val="none" w:sz="0" w:space="0" w:color="auto"/>
          </w:divBdr>
        </w:div>
        <w:div w:id="863058340">
          <w:marLeft w:val="0"/>
          <w:marRight w:val="0"/>
          <w:marTop w:val="0"/>
          <w:marBottom w:val="101"/>
          <w:divBdr>
            <w:top w:val="none" w:sz="0" w:space="0" w:color="auto"/>
            <w:left w:val="none" w:sz="0" w:space="0" w:color="auto"/>
            <w:bottom w:val="none" w:sz="0" w:space="0" w:color="auto"/>
            <w:right w:val="none" w:sz="0" w:space="0" w:color="auto"/>
          </w:divBdr>
        </w:div>
        <w:div w:id="1948611911">
          <w:marLeft w:val="0"/>
          <w:marRight w:val="0"/>
          <w:marTop w:val="0"/>
          <w:marBottom w:val="101"/>
          <w:divBdr>
            <w:top w:val="none" w:sz="0" w:space="0" w:color="auto"/>
            <w:left w:val="none" w:sz="0" w:space="0" w:color="auto"/>
            <w:bottom w:val="none" w:sz="0" w:space="0" w:color="auto"/>
            <w:right w:val="none" w:sz="0" w:space="0" w:color="auto"/>
          </w:divBdr>
        </w:div>
        <w:div w:id="1025835185">
          <w:marLeft w:val="0"/>
          <w:marRight w:val="0"/>
          <w:marTop w:val="0"/>
          <w:marBottom w:val="101"/>
          <w:divBdr>
            <w:top w:val="none" w:sz="0" w:space="0" w:color="auto"/>
            <w:left w:val="none" w:sz="0" w:space="0" w:color="auto"/>
            <w:bottom w:val="none" w:sz="0" w:space="0" w:color="auto"/>
            <w:right w:val="none" w:sz="0" w:space="0" w:color="auto"/>
          </w:divBdr>
        </w:div>
        <w:div w:id="277952322">
          <w:marLeft w:val="0"/>
          <w:marRight w:val="0"/>
          <w:marTop w:val="0"/>
          <w:marBottom w:val="101"/>
          <w:divBdr>
            <w:top w:val="none" w:sz="0" w:space="0" w:color="auto"/>
            <w:left w:val="none" w:sz="0" w:space="0" w:color="auto"/>
            <w:bottom w:val="none" w:sz="0" w:space="0" w:color="auto"/>
            <w:right w:val="none" w:sz="0" w:space="0" w:color="auto"/>
          </w:divBdr>
        </w:div>
        <w:div w:id="2080051104">
          <w:marLeft w:val="0"/>
          <w:marRight w:val="0"/>
          <w:marTop w:val="0"/>
          <w:marBottom w:val="101"/>
          <w:divBdr>
            <w:top w:val="none" w:sz="0" w:space="0" w:color="auto"/>
            <w:left w:val="none" w:sz="0" w:space="0" w:color="auto"/>
            <w:bottom w:val="none" w:sz="0" w:space="0" w:color="auto"/>
            <w:right w:val="none" w:sz="0" w:space="0" w:color="auto"/>
          </w:divBdr>
        </w:div>
        <w:div w:id="1953366377">
          <w:marLeft w:val="0"/>
          <w:marRight w:val="0"/>
          <w:marTop w:val="0"/>
          <w:marBottom w:val="101"/>
          <w:divBdr>
            <w:top w:val="none" w:sz="0" w:space="0" w:color="auto"/>
            <w:left w:val="none" w:sz="0" w:space="0" w:color="auto"/>
            <w:bottom w:val="none" w:sz="0" w:space="0" w:color="auto"/>
            <w:right w:val="none" w:sz="0" w:space="0" w:color="auto"/>
          </w:divBdr>
        </w:div>
        <w:div w:id="458645323">
          <w:marLeft w:val="0"/>
          <w:marRight w:val="0"/>
          <w:marTop w:val="0"/>
          <w:marBottom w:val="101"/>
          <w:divBdr>
            <w:top w:val="none" w:sz="0" w:space="0" w:color="auto"/>
            <w:left w:val="none" w:sz="0" w:space="0" w:color="auto"/>
            <w:bottom w:val="none" w:sz="0" w:space="0" w:color="auto"/>
            <w:right w:val="none" w:sz="0" w:space="0" w:color="auto"/>
          </w:divBdr>
        </w:div>
        <w:div w:id="1877351929">
          <w:marLeft w:val="0"/>
          <w:marRight w:val="0"/>
          <w:marTop w:val="0"/>
          <w:marBottom w:val="101"/>
          <w:divBdr>
            <w:top w:val="none" w:sz="0" w:space="0" w:color="auto"/>
            <w:left w:val="none" w:sz="0" w:space="0" w:color="auto"/>
            <w:bottom w:val="none" w:sz="0" w:space="0" w:color="auto"/>
            <w:right w:val="none" w:sz="0" w:space="0" w:color="auto"/>
          </w:divBdr>
        </w:div>
        <w:div w:id="1787461111">
          <w:marLeft w:val="0"/>
          <w:marRight w:val="0"/>
          <w:marTop w:val="0"/>
          <w:marBottom w:val="101"/>
          <w:divBdr>
            <w:top w:val="none" w:sz="0" w:space="0" w:color="auto"/>
            <w:left w:val="none" w:sz="0" w:space="0" w:color="auto"/>
            <w:bottom w:val="none" w:sz="0" w:space="0" w:color="auto"/>
            <w:right w:val="none" w:sz="0" w:space="0" w:color="auto"/>
          </w:divBdr>
        </w:div>
        <w:div w:id="496192215">
          <w:marLeft w:val="0"/>
          <w:marRight w:val="0"/>
          <w:marTop w:val="0"/>
          <w:marBottom w:val="101"/>
          <w:divBdr>
            <w:top w:val="none" w:sz="0" w:space="0" w:color="auto"/>
            <w:left w:val="none" w:sz="0" w:space="0" w:color="auto"/>
            <w:bottom w:val="none" w:sz="0" w:space="0" w:color="auto"/>
            <w:right w:val="none" w:sz="0" w:space="0" w:color="auto"/>
          </w:divBdr>
        </w:div>
        <w:div w:id="971056546">
          <w:marLeft w:val="0"/>
          <w:marRight w:val="0"/>
          <w:marTop w:val="0"/>
          <w:marBottom w:val="101"/>
          <w:divBdr>
            <w:top w:val="none" w:sz="0" w:space="0" w:color="auto"/>
            <w:left w:val="none" w:sz="0" w:space="0" w:color="auto"/>
            <w:bottom w:val="none" w:sz="0" w:space="0" w:color="auto"/>
            <w:right w:val="none" w:sz="0" w:space="0" w:color="auto"/>
          </w:divBdr>
        </w:div>
        <w:div w:id="1337339184">
          <w:marLeft w:val="0"/>
          <w:marRight w:val="0"/>
          <w:marTop w:val="0"/>
          <w:marBottom w:val="101"/>
          <w:divBdr>
            <w:top w:val="none" w:sz="0" w:space="0" w:color="auto"/>
            <w:left w:val="none" w:sz="0" w:space="0" w:color="auto"/>
            <w:bottom w:val="none" w:sz="0" w:space="0" w:color="auto"/>
            <w:right w:val="none" w:sz="0" w:space="0" w:color="auto"/>
          </w:divBdr>
        </w:div>
        <w:div w:id="468321875">
          <w:marLeft w:val="0"/>
          <w:marRight w:val="0"/>
          <w:marTop w:val="0"/>
          <w:marBottom w:val="101"/>
          <w:divBdr>
            <w:top w:val="none" w:sz="0" w:space="0" w:color="auto"/>
            <w:left w:val="none" w:sz="0" w:space="0" w:color="auto"/>
            <w:bottom w:val="none" w:sz="0" w:space="0" w:color="auto"/>
            <w:right w:val="none" w:sz="0" w:space="0" w:color="auto"/>
          </w:divBdr>
        </w:div>
        <w:div w:id="570699897">
          <w:marLeft w:val="0"/>
          <w:marRight w:val="0"/>
          <w:marTop w:val="0"/>
          <w:marBottom w:val="101"/>
          <w:divBdr>
            <w:top w:val="none" w:sz="0" w:space="0" w:color="auto"/>
            <w:left w:val="none" w:sz="0" w:space="0" w:color="auto"/>
            <w:bottom w:val="none" w:sz="0" w:space="0" w:color="auto"/>
            <w:right w:val="none" w:sz="0" w:space="0" w:color="auto"/>
          </w:divBdr>
        </w:div>
        <w:div w:id="895238540">
          <w:marLeft w:val="0"/>
          <w:marRight w:val="0"/>
          <w:marTop w:val="0"/>
          <w:marBottom w:val="101"/>
          <w:divBdr>
            <w:top w:val="none" w:sz="0" w:space="0" w:color="auto"/>
            <w:left w:val="none" w:sz="0" w:space="0" w:color="auto"/>
            <w:bottom w:val="none" w:sz="0" w:space="0" w:color="auto"/>
            <w:right w:val="none" w:sz="0" w:space="0" w:color="auto"/>
          </w:divBdr>
        </w:div>
        <w:div w:id="562452860">
          <w:marLeft w:val="0"/>
          <w:marRight w:val="0"/>
          <w:marTop w:val="0"/>
          <w:marBottom w:val="101"/>
          <w:divBdr>
            <w:top w:val="none" w:sz="0" w:space="0" w:color="auto"/>
            <w:left w:val="none" w:sz="0" w:space="0" w:color="auto"/>
            <w:bottom w:val="none" w:sz="0" w:space="0" w:color="auto"/>
            <w:right w:val="none" w:sz="0" w:space="0" w:color="auto"/>
          </w:divBdr>
        </w:div>
        <w:div w:id="168838608">
          <w:marLeft w:val="0"/>
          <w:marRight w:val="0"/>
          <w:marTop w:val="0"/>
          <w:marBottom w:val="101"/>
          <w:divBdr>
            <w:top w:val="none" w:sz="0" w:space="0" w:color="auto"/>
            <w:left w:val="none" w:sz="0" w:space="0" w:color="auto"/>
            <w:bottom w:val="none" w:sz="0" w:space="0" w:color="auto"/>
            <w:right w:val="none" w:sz="0" w:space="0" w:color="auto"/>
          </w:divBdr>
        </w:div>
        <w:div w:id="1582787199">
          <w:marLeft w:val="0"/>
          <w:marRight w:val="0"/>
          <w:marTop w:val="0"/>
          <w:marBottom w:val="101"/>
          <w:divBdr>
            <w:top w:val="none" w:sz="0" w:space="0" w:color="auto"/>
            <w:left w:val="none" w:sz="0" w:space="0" w:color="auto"/>
            <w:bottom w:val="none" w:sz="0" w:space="0" w:color="auto"/>
            <w:right w:val="none" w:sz="0" w:space="0" w:color="auto"/>
          </w:divBdr>
        </w:div>
        <w:div w:id="631406035">
          <w:marLeft w:val="504"/>
          <w:marRight w:val="504"/>
          <w:marTop w:val="60"/>
          <w:marBottom w:val="101"/>
          <w:divBdr>
            <w:top w:val="none" w:sz="0" w:space="0" w:color="auto"/>
            <w:left w:val="none" w:sz="0" w:space="0" w:color="auto"/>
            <w:bottom w:val="none" w:sz="0" w:space="0" w:color="auto"/>
            <w:right w:val="none" w:sz="0" w:space="0" w:color="auto"/>
          </w:divBdr>
        </w:div>
        <w:div w:id="713310906">
          <w:marLeft w:val="0"/>
          <w:marRight w:val="0"/>
          <w:marTop w:val="0"/>
          <w:marBottom w:val="101"/>
          <w:divBdr>
            <w:top w:val="none" w:sz="0" w:space="0" w:color="auto"/>
            <w:left w:val="none" w:sz="0" w:space="0" w:color="auto"/>
            <w:bottom w:val="none" w:sz="0" w:space="0" w:color="auto"/>
            <w:right w:val="none" w:sz="0" w:space="0" w:color="auto"/>
          </w:divBdr>
        </w:div>
        <w:div w:id="1737706210">
          <w:marLeft w:val="0"/>
          <w:marRight w:val="0"/>
          <w:marTop w:val="0"/>
          <w:marBottom w:val="101"/>
          <w:divBdr>
            <w:top w:val="none" w:sz="0" w:space="0" w:color="auto"/>
            <w:left w:val="none" w:sz="0" w:space="0" w:color="auto"/>
            <w:bottom w:val="none" w:sz="0" w:space="0" w:color="auto"/>
            <w:right w:val="none" w:sz="0" w:space="0" w:color="auto"/>
          </w:divBdr>
        </w:div>
        <w:div w:id="1399552326">
          <w:marLeft w:val="0"/>
          <w:marRight w:val="0"/>
          <w:marTop w:val="0"/>
          <w:marBottom w:val="101"/>
          <w:divBdr>
            <w:top w:val="none" w:sz="0" w:space="0" w:color="auto"/>
            <w:left w:val="none" w:sz="0" w:space="0" w:color="auto"/>
            <w:bottom w:val="none" w:sz="0" w:space="0" w:color="auto"/>
            <w:right w:val="none" w:sz="0" w:space="0" w:color="auto"/>
          </w:divBdr>
        </w:div>
        <w:div w:id="788083354">
          <w:marLeft w:val="0"/>
          <w:marRight w:val="0"/>
          <w:marTop w:val="0"/>
          <w:marBottom w:val="101"/>
          <w:divBdr>
            <w:top w:val="none" w:sz="0" w:space="0" w:color="auto"/>
            <w:left w:val="none" w:sz="0" w:space="0" w:color="auto"/>
            <w:bottom w:val="none" w:sz="0" w:space="0" w:color="auto"/>
            <w:right w:val="none" w:sz="0" w:space="0" w:color="auto"/>
          </w:divBdr>
        </w:div>
        <w:div w:id="1355039962">
          <w:marLeft w:val="0"/>
          <w:marRight w:val="0"/>
          <w:marTop w:val="0"/>
          <w:marBottom w:val="101"/>
          <w:divBdr>
            <w:top w:val="none" w:sz="0" w:space="0" w:color="auto"/>
            <w:left w:val="none" w:sz="0" w:space="0" w:color="auto"/>
            <w:bottom w:val="none" w:sz="0" w:space="0" w:color="auto"/>
            <w:right w:val="none" w:sz="0" w:space="0" w:color="auto"/>
          </w:divBdr>
        </w:div>
        <w:div w:id="1905218379">
          <w:marLeft w:val="0"/>
          <w:marRight w:val="0"/>
          <w:marTop w:val="0"/>
          <w:marBottom w:val="101"/>
          <w:divBdr>
            <w:top w:val="none" w:sz="0" w:space="0" w:color="auto"/>
            <w:left w:val="none" w:sz="0" w:space="0" w:color="auto"/>
            <w:bottom w:val="none" w:sz="0" w:space="0" w:color="auto"/>
            <w:right w:val="none" w:sz="0" w:space="0" w:color="auto"/>
          </w:divBdr>
        </w:div>
        <w:div w:id="209460350">
          <w:marLeft w:val="0"/>
          <w:marRight w:val="0"/>
          <w:marTop w:val="0"/>
          <w:marBottom w:val="101"/>
          <w:divBdr>
            <w:top w:val="none" w:sz="0" w:space="0" w:color="auto"/>
            <w:left w:val="none" w:sz="0" w:space="0" w:color="auto"/>
            <w:bottom w:val="none" w:sz="0" w:space="0" w:color="auto"/>
            <w:right w:val="none" w:sz="0" w:space="0" w:color="auto"/>
          </w:divBdr>
        </w:div>
        <w:div w:id="308483992">
          <w:marLeft w:val="0"/>
          <w:marRight w:val="0"/>
          <w:marTop w:val="0"/>
          <w:marBottom w:val="101"/>
          <w:divBdr>
            <w:top w:val="none" w:sz="0" w:space="0" w:color="auto"/>
            <w:left w:val="none" w:sz="0" w:space="0" w:color="auto"/>
            <w:bottom w:val="none" w:sz="0" w:space="0" w:color="auto"/>
            <w:right w:val="none" w:sz="0" w:space="0" w:color="auto"/>
          </w:divBdr>
        </w:div>
        <w:div w:id="831139456">
          <w:marLeft w:val="0"/>
          <w:marRight w:val="0"/>
          <w:marTop w:val="0"/>
          <w:marBottom w:val="101"/>
          <w:divBdr>
            <w:top w:val="none" w:sz="0" w:space="0" w:color="auto"/>
            <w:left w:val="none" w:sz="0" w:space="0" w:color="auto"/>
            <w:bottom w:val="none" w:sz="0" w:space="0" w:color="auto"/>
            <w:right w:val="none" w:sz="0" w:space="0" w:color="auto"/>
          </w:divBdr>
        </w:div>
        <w:div w:id="1935745912">
          <w:marLeft w:val="0"/>
          <w:marRight w:val="0"/>
          <w:marTop w:val="0"/>
          <w:marBottom w:val="101"/>
          <w:divBdr>
            <w:top w:val="none" w:sz="0" w:space="0" w:color="auto"/>
            <w:left w:val="none" w:sz="0" w:space="0" w:color="auto"/>
            <w:bottom w:val="none" w:sz="0" w:space="0" w:color="auto"/>
            <w:right w:val="none" w:sz="0" w:space="0" w:color="auto"/>
          </w:divBdr>
        </w:div>
        <w:div w:id="1326275094">
          <w:marLeft w:val="0"/>
          <w:marRight w:val="0"/>
          <w:marTop w:val="0"/>
          <w:marBottom w:val="101"/>
          <w:divBdr>
            <w:top w:val="none" w:sz="0" w:space="0" w:color="auto"/>
            <w:left w:val="none" w:sz="0" w:space="0" w:color="auto"/>
            <w:bottom w:val="none" w:sz="0" w:space="0" w:color="auto"/>
            <w:right w:val="none" w:sz="0" w:space="0" w:color="auto"/>
          </w:divBdr>
        </w:div>
        <w:div w:id="816342810">
          <w:marLeft w:val="288"/>
          <w:marRight w:val="0"/>
          <w:marTop w:val="0"/>
          <w:marBottom w:val="0"/>
          <w:divBdr>
            <w:top w:val="none" w:sz="0" w:space="0" w:color="auto"/>
            <w:left w:val="none" w:sz="0" w:space="0" w:color="auto"/>
            <w:bottom w:val="none" w:sz="0" w:space="0" w:color="auto"/>
            <w:right w:val="none" w:sz="0" w:space="0" w:color="auto"/>
          </w:divBdr>
        </w:div>
        <w:div w:id="1871454834">
          <w:marLeft w:val="288"/>
          <w:marRight w:val="0"/>
          <w:marTop w:val="0"/>
          <w:marBottom w:val="0"/>
          <w:divBdr>
            <w:top w:val="none" w:sz="0" w:space="0" w:color="auto"/>
            <w:left w:val="none" w:sz="0" w:space="0" w:color="auto"/>
            <w:bottom w:val="none" w:sz="0" w:space="0" w:color="auto"/>
            <w:right w:val="none" w:sz="0" w:space="0" w:color="auto"/>
          </w:divBdr>
        </w:div>
        <w:div w:id="283122118">
          <w:marLeft w:val="288"/>
          <w:marRight w:val="0"/>
          <w:marTop w:val="0"/>
          <w:marBottom w:val="0"/>
          <w:divBdr>
            <w:top w:val="none" w:sz="0" w:space="0" w:color="auto"/>
            <w:left w:val="none" w:sz="0" w:space="0" w:color="auto"/>
            <w:bottom w:val="none" w:sz="0" w:space="0" w:color="auto"/>
            <w:right w:val="none" w:sz="0" w:space="0" w:color="auto"/>
          </w:divBdr>
        </w:div>
        <w:div w:id="1179007179">
          <w:marLeft w:val="288"/>
          <w:marRight w:val="0"/>
          <w:marTop w:val="0"/>
          <w:marBottom w:val="101"/>
          <w:divBdr>
            <w:top w:val="none" w:sz="0" w:space="0" w:color="auto"/>
            <w:left w:val="none" w:sz="0" w:space="0" w:color="auto"/>
            <w:bottom w:val="none" w:sz="0" w:space="0" w:color="auto"/>
            <w:right w:val="none" w:sz="0" w:space="0" w:color="auto"/>
          </w:divBdr>
        </w:div>
        <w:div w:id="1561624553">
          <w:marLeft w:val="0"/>
          <w:marRight w:val="0"/>
          <w:marTop w:val="0"/>
          <w:marBottom w:val="101"/>
          <w:divBdr>
            <w:top w:val="none" w:sz="0" w:space="0" w:color="auto"/>
            <w:left w:val="none" w:sz="0" w:space="0" w:color="auto"/>
            <w:bottom w:val="none" w:sz="0" w:space="0" w:color="auto"/>
            <w:right w:val="none" w:sz="0" w:space="0" w:color="auto"/>
          </w:divBdr>
        </w:div>
        <w:div w:id="1174606958">
          <w:marLeft w:val="288"/>
          <w:marRight w:val="0"/>
          <w:marTop w:val="0"/>
          <w:marBottom w:val="0"/>
          <w:divBdr>
            <w:top w:val="none" w:sz="0" w:space="0" w:color="auto"/>
            <w:left w:val="none" w:sz="0" w:space="0" w:color="auto"/>
            <w:bottom w:val="none" w:sz="0" w:space="0" w:color="auto"/>
            <w:right w:val="none" w:sz="0" w:space="0" w:color="auto"/>
          </w:divBdr>
        </w:div>
        <w:div w:id="1318073032">
          <w:marLeft w:val="288"/>
          <w:marRight w:val="0"/>
          <w:marTop w:val="0"/>
          <w:marBottom w:val="0"/>
          <w:divBdr>
            <w:top w:val="none" w:sz="0" w:space="0" w:color="auto"/>
            <w:left w:val="none" w:sz="0" w:space="0" w:color="auto"/>
            <w:bottom w:val="none" w:sz="0" w:space="0" w:color="auto"/>
            <w:right w:val="none" w:sz="0" w:space="0" w:color="auto"/>
          </w:divBdr>
        </w:div>
        <w:div w:id="1158498894">
          <w:marLeft w:val="288"/>
          <w:marRight w:val="0"/>
          <w:marTop w:val="0"/>
          <w:marBottom w:val="0"/>
          <w:divBdr>
            <w:top w:val="none" w:sz="0" w:space="0" w:color="auto"/>
            <w:left w:val="none" w:sz="0" w:space="0" w:color="auto"/>
            <w:bottom w:val="none" w:sz="0" w:space="0" w:color="auto"/>
            <w:right w:val="none" w:sz="0" w:space="0" w:color="auto"/>
          </w:divBdr>
        </w:div>
        <w:div w:id="1024094321">
          <w:marLeft w:val="288"/>
          <w:marRight w:val="0"/>
          <w:marTop w:val="0"/>
          <w:marBottom w:val="101"/>
          <w:divBdr>
            <w:top w:val="none" w:sz="0" w:space="0" w:color="auto"/>
            <w:left w:val="none" w:sz="0" w:space="0" w:color="auto"/>
            <w:bottom w:val="none" w:sz="0" w:space="0" w:color="auto"/>
            <w:right w:val="none" w:sz="0" w:space="0" w:color="auto"/>
          </w:divBdr>
        </w:div>
        <w:div w:id="917443017">
          <w:marLeft w:val="288"/>
          <w:marRight w:val="0"/>
          <w:marTop w:val="0"/>
          <w:marBottom w:val="0"/>
          <w:divBdr>
            <w:top w:val="none" w:sz="0" w:space="0" w:color="auto"/>
            <w:left w:val="none" w:sz="0" w:space="0" w:color="auto"/>
            <w:bottom w:val="none" w:sz="0" w:space="0" w:color="auto"/>
            <w:right w:val="none" w:sz="0" w:space="0" w:color="auto"/>
          </w:divBdr>
        </w:div>
        <w:div w:id="1460490695">
          <w:marLeft w:val="288"/>
          <w:marRight w:val="0"/>
          <w:marTop w:val="0"/>
          <w:marBottom w:val="0"/>
          <w:divBdr>
            <w:top w:val="none" w:sz="0" w:space="0" w:color="auto"/>
            <w:left w:val="none" w:sz="0" w:space="0" w:color="auto"/>
            <w:bottom w:val="none" w:sz="0" w:space="0" w:color="auto"/>
            <w:right w:val="none" w:sz="0" w:space="0" w:color="auto"/>
          </w:divBdr>
        </w:div>
        <w:div w:id="1322541202">
          <w:marLeft w:val="288"/>
          <w:marRight w:val="0"/>
          <w:marTop w:val="0"/>
          <w:marBottom w:val="0"/>
          <w:divBdr>
            <w:top w:val="none" w:sz="0" w:space="0" w:color="auto"/>
            <w:left w:val="none" w:sz="0" w:space="0" w:color="auto"/>
            <w:bottom w:val="none" w:sz="0" w:space="0" w:color="auto"/>
            <w:right w:val="none" w:sz="0" w:space="0" w:color="auto"/>
          </w:divBdr>
        </w:div>
        <w:div w:id="1744328550">
          <w:marLeft w:val="288"/>
          <w:marRight w:val="0"/>
          <w:marTop w:val="0"/>
          <w:marBottom w:val="101"/>
          <w:divBdr>
            <w:top w:val="none" w:sz="0" w:space="0" w:color="auto"/>
            <w:left w:val="none" w:sz="0" w:space="0" w:color="auto"/>
            <w:bottom w:val="none" w:sz="0" w:space="0" w:color="auto"/>
            <w:right w:val="none" w:sz="0" w:space="0" w:color="auto"/>
          </w:divBdr>
        </w:div>
        <w:div w:id="126558011">
          <w:marLeft w:val="288"/>
          <w:marRight w:val="0"/>
          <w:marTop w:val="0"/>
          <w:marBottom w:val="0"/>
          <w:divBdr>
            <w:top w:val="none" w:sz="0" w:space="0" w:color="auto"/>
            <w:left w:val="none" w:sz="0" w:space="0" w:color="auto"/>
            <w:bottom w:val="none" w:sz="0" w:space="0" w:color="auto"/>
            <w:right w:val="none" w:sz="0" w:space="0" w:color="auto"/>
          </w:divBdr>
        </w:div>
        <w:div w:id="696269622">
          <w:marLeft w:val="288"/>
          <w:marRight w:val="0"/>
          <w:marTop w:val="0"/>
          <w:marBottom w:val="0"/>
          <w:divBdr>
            <w:top w:val="none" w:sz="0" w:space="0" w:color="auto"/>
            <w:left w:val="none" w:sz="0" w:space="0" w:color="auto"/>
            <w:bottom w:val="none" w:sz="0" w:space="0" w:color="auto"/>
            <w:right w:val="none" w:sz="0" w:space="0" w:color="auto"/>
          </w:divBdr>
        </w:div>
        <w:div w:id="578977442">
          <w:marLeft w:val="288"/>
          <w:marRight w:val="0"/>
          <w:marTop w:val="0"/>
          <w:marBottom w:val="0"/>
          <w:divBdr>
            <w:top w:val="none" w:sz="0" w:space="0" w:color="auto"/>
            <w:left w:val="none" w:sz="0" w:space="0" w:color="auto"/>
            <w:bottom w:val="none" w:sz="0" w:space="0" w:color="auto"/>
            <w:right w:val="none" w:sz="0" w:space="0" w:color="auto"/>
          </w:divBdr>
        </w:div>
        <w:div w:id="832256779">
          <w:marLeft w:val="288"/>
          <w:marRight w:val="0"/>
          <w:marTop w:val="0"/>
          <w:marBottom w:val="101"/>
          <w:divBdr>
            <w:top w:val="none" w:sz="0" w:space="0" w:color="auto"/>
            <w:left w:val="none" w:sz="0" w:space="0" w:color="auto"/>
            <w:bottom w:val="none" w:sz="0" w:space="0" w:color="auto"/>
            <w:right w:val="none" w:sz="0" w:space="0" w:color="auto"/>
          </w:divBdr>
        </w:div>
        <w:div w:id="970550319">
          <w:marLeft w:val="288"/>
          <w:marRight w:val="0"/>
          <w:marTop w:val="0"/>
          <w:marBottom w:val="0"/>
          <w:divBdr>
            <w:top w:val="none" w:sz="0" w:space="0" w:color="auto"/>
            <w:left w:val="none" w:sz="0" w:space="0" w:color="auto"/>
            <w:bottom w:val="none" w:sz="0" w:space="0" w:color="auto"/>
            <w:right w:val="none" w:sz="0" w:space="0" w:color="auto"/>
          </w:divBdr>
        </w:div>
        <w:div w:id="2075620813">
          <w:marLeft w:val="288"/>
          <w:marRight w:val="0"/>
          <w:marTop w:val="0"/>
          <w:marBottom w:val="0"/>
          <w:divBdr>
            <w:top w:val="none" w:sz="0" w:space="0" w:color="auto"/>
            <w:left w:val="none" w:sz="0" w:space="0" w:color="auto"/>
            <w:bottom w:val="none" w:sz="0" w:space="0" w:color="auto"/>
            <w:right w:val="none" w:sz="0" w:space="0" w:color="auto"/>
          </w:divBdr>
        </w:div>
        <w:div w:id="1511986539">
          <w:marLeft w:val="288"/>
          <w:marRight w:val="0"/>
          <w:marTop w:val="0"/>
          <w:marBottom w:val="0"/>
          <w:divBdr>
            <w:top w:val="none" w:sz="0" w:space="0" w:color="auto"/>
            <w:left w:val="none" w:sz="0" w:space="0" w:color="auto"/>
            <w:bottom w:val="none" w:sz="0" w:space="0" w:color="auto"/>
            <w:right w:val="none" w:sz="0" w:space="0" w:color="auto"/>
          </w:divBdr>
        </w:div>
        <w:div w:id="951939451">
          <w:marLeft w:val="288"/>
          <w:marRight w:val="0"/>
          <w:marTop w:val="0"/>
          <w:marBottom w:val="101"/>
          <w:divBdr>
            <w:top w:val="none" w:sz="0" w:space="0" w:color="auto"/>
            <w:left w:val="none" w:sz="0" w:space="0" w:color="auto"/>
            <w:bottom w:val="none" w:sz="0" w:space="0" w:color="auto"/>
            <w:right w:val="none" w:sz="0" w:space="0" w:color="auto"/>
          </w:divBdr>
        </w:div>
        <w:div w:id="476652296">
          <w:marLeft w:val="0"/>
          <w:marRight w:val="0"/>
          <w:marTop w:val="0"/>
          <w:marBottom w:val="101"/>
          <w:divBdr>
            <w:top w:val="none" w:sz="0" w:space="0" w:color="auto"/>
            <w:left w:val="none" w:sz="0" w:space="0" w:color="auto"/>
            <w:bottom w:val="none" w:sz="0" w:space="0" w:color="auto"/>
            <w:right w:val="none" w:sz="0" w:space="0" w:color="auto"/>
          </w:divBdr>
        </w:div>
        <w:div w:id="201790516">
          <w:marLeft w:val="288"/>
          <w:marRight w:val="0"/>
          <w:marTop w:val="0"/>
          <w:marBottom w:val="0"/>
          <w:divBdr>
            <w:top w:val="none" w:sz="0" w:space="0" w:color="auto"/>
            <w:left w:val="none" w:sz="0" w:space="0" w:color="auto"/>
            <w:bottom w:val="none" w:sz="0" w:space="0" w:color="auto"/>
            <w:right w:val="none" w:sz="0" w:space="0" w:color="auto"/>
          </w:divBdr>
        </w:div>
        <w:div w:id="342705138">
          <w:marLeft w:val="288"/>
          <w:marRight w:val="0"/>
          <w:marTop w:val="0"/>
          <w:marBottom w:val="0"/>
          <w:divBdr>
            <w:top w:val="none" w:sz="0" w:space="0" w:color="auto"/>
            <w:left w:val="none" w:sz="0" w:space="0" w:color="auto"/>
            <w:bottom w:val="none" w:sz="0" w:space="0" w:color="auto"/>
            <w:right w:val="none" w:sz="0" w:space="0" w:color="auto"/>
          </w:divBdr>
        </w:div>
        <w:div w:id="958028508">
          <w:marLeft w:val="288"/>
          <w:marRight w:val="0"/>
          <w:marTop w:val="0"/>
          <w:marBottom w:val="101"/>
          <w:divBdr>
            <w:top w:val="none" w:sz="0" w:space="0" w:color="auto"/>
            <w:left w:val="none" w:sz="0" w:space="0" w:color="auto"/>
            <w:bottom w:val="none" w:sz="0" w:space="0" w:color="auto"/>
            <w:right w:val="none" w:sz="0" w:space="0" w:color="auto"/>
          </w:divBdr>
        </w:div>
        <w:div w:id="1210334769">
          <w:marLeft w:val="0"/>
          <w:marRight w:val="0"/>
          <w:marTop w:val="0"/>
          <w:marBottom w:val="101"/>
          <w:divBdr>
            <w:top w:val="none" w:sz="0" w:space="0" w:color="auto"/>
            <w:left w:val="none" w:sz="0" w:space="0" w:color="auto"/>
            <w:bottom w:val="none" w:sz="0" w:space="0" w:color="auto"/>
            <w:right w:val="none" w:sz="0" w:space="0" w:color="auto"/>
          </w:divBdr>
        </w:div>
        <w:div w:id="1842818267">
          <w:marLeft w:val="288"/>
          <w:marRight w:val="0"/>
          <w:marTop w:val="0"/>
          <w:marBottom w:val="0"/>
          <w:divBdr>
            <w:top w:val="none" w:sz="0" w:space="0" w:color="auto"/>
            <w:left w:val="none" w:sz="0" w:space="0" w:color="auto"/>
            <w:bottom w:val="none" w:sz="0" w:space="0" w:color="auto"/>
            <w:right w:val="none" w:sz="0" w:space="0" w:color="auto"/>
          </w:divBdr>
        </w:div>
        <w:div w:id="1695686567">
          <w:marLeft w:val="288"/>
          <w:marRight w:val="0"/>
          <w:marTop w:val="0"/>
          <w:marBottom w:val="0"/>
          <w:divBdr>
            <w:top w:val="none" w:sz="0" w:space="0" w:color="auto"/>
            <w:left w:val="none" w:sz="0" w:space="0" w:color="auto"/>
            <w:bottom w:val="none" w:sz="0" w:space="0" w:color="auto"/>
            <w:right w:val="none" w:sz="0" w:space="0" w:color="auto"/>
          </w:divBdr>
        </w:div>
        <w:div w:id="1771509839">
          <w:marLeft w:val="288"/>
          <w:marRight w:val="0"/>
          <w:marTop w:val="0"/>
          <w:marBottom w:val="0"/>
          <w:divBdr>
            <w:top w:val="none" w:sz="0" w:space="0" w:color="auto"/>
            <w:left w:val="none" w:sz="0" w:space="0" w:color="auto"/>
            <w:bottom w:val="none" w:sz="0" w:space="0" w:color="auto"/>
            <w:right w:val="none" w:sz="0" w:space="0" w:color="auto"/>
          </w:divBdr>
        </w:div>
        <w:div w:id="574361840">
          <w:marLeft w:val="288"/>
          <w:marRight w:val="0"/>
          <w:marTop w:val="0"/>
          <w:marBottom w:val="101"/>
          <w:divBdr>
            <w:top w:val="none" w:sz="0" w:space="0" w:color="auto"/>
            <w:left w:val="none" w:sz="0" w:space="0" w:color="auto"/>
            <w:bottom w:val="none" w:sz="0" w:space="0" w:color="auto"/>
            <w:right w:val="none" w:sz="0" w:space="0" w:color="auto"/>
          </w:divBdr>
        </w:div>
        <w:div w:id="1534921187">
          <w:marLeft w:val="0"/>
          <w:marRight w:val="0"/>
          <w:marTop w:val="101"/>
          <w:marBottom w:val="101"/>
          <w:divBdr>
            <w:top w:val="none" w:sz="0" w:space="0" w:color="auto"/>
            <w:left w:val="none" w:sz="0" w:space="0" w:color="auto"/>
            <w:bottom w:val="none" w:sz="0" w:space="0" w:color="auto"/>
            <w:right w:val="none" w:sz="0" w:space="0" w:color="auto"/>
          </w:divBdr>
        </w:div>
        <w:div w:id="1682463106">
          <w:marLeft w:val="0"/>
          <w:marRight w:val="0"/>
          <w:marTop w:val="0"/>
          <w:marBottom w:val="101"/>
          <w:divBdr>
            <w:top w:val="none" w:sz="0" w:space="0" w:color="auto"/>
            <w:left w:val="none" w:sz="0" w:space="0" w:color="auto"/>
            <w:bottom w:val="none" w:sz="0" w:space="0" w:color="auto"/>
            <w:right w:val="none" w:sz="0" w:space="0" w:color="auto"/>
          </w:divBdr>
        </w:div>
        <w:div w:id="1780026739">
          <w:marLeft w:val="0"/>
          <w:marRight w:val="0"/>
          <w:marTop w:val="0"/>
          <w:marBottom w:val="101"/>
          <w:divBdr>
            <w:top w:val="none" w:sz="0" w:space="0" w:color="auto"/>
            <w:left w:val="none" w:sz="0" w:space="0" w:color="auto"/>
            <w:bottom w:val="none" w:sz="0" w:space="0" w:color="auto"/>
            <w:right w:val="none" w:sz="0" w:space="0" w:color="auto"/>
          </w:divBdr>
        </w:div>
        <w:div w:id="36929465">
          <w:marLeft w:val="0"/>
          <w:marRight w:val="0"/>
          <w:marTop w:val="0"/>
          <w:marBottom w:val="101"/>
          <w:divBdr>
            <w:top w:val="none" w:sz="0" w:space="0" w:color="auto"/>
            <w:left w:val="none" w:sz="0" w:space="0" w:color="auto"/>
            <w:bottom w:val="none" w:sz="0" w:space="0" w:color="auto"/>
            <w:right w:val="none" w:sz="0" w:space="0" w:color="auto"/>
          </w:divBdr>
        </w:div>
        <w:div w:id="2054847596">
          <w:marLeft w:val="0"/>
          <w:marRight w:val="0"/>
          <w:marTop w:val="0"/>
          <w:marBottom w:val="101"/>
          <w:divBdr>
            <w:top w:val="none" w:sz="0" w:space="0" w:color="auto"/>
            <w:left w:val="none" w:sz="0" w:space="0" w:color="auto"/>
            <w:bottom w:val="none" w:sz="0" w:space="0" w:color="auto"/>
            <w:right w:val="none" w:sz="0" w:space="0" w:color="auto"/>
          </w:divBdr>
        </w:div>
        <w:div w:id="1953324210">
          <w:marLeft w:val="0"/>
          <w:marRight w:val="0"/>
          <w:marTop w:val="0"/>
          <w:marBottom w:val="86"/>
          <w:divBdr>
            <w:top w:val="none" w:sz="0" w:space="0" w:color="auto"/>
            <w:left w:val="none" w:sz="0" w:space="0" w:color="auto"/>
            <w:bottom w:val="none" w:sz="0" w:space="0" w:color="auto"/>
            <w:right w:val="none" w:sz="0" w:space="0" w:color="auto"/>
          </w:divBdr>
        </w:div>
        <w:div w:id="765879007">
          <w:marLeft w:val="0"/>
          <w:marRight w:val="0"/>
          <w:marTop w:val="0"/>
          <w:marBottom w:val="86"/>
          <w:divBdr>
            <w:top w:val="none" w:sz="0" w:space="0" w:color="auto"/>
            <w:left w:val="none" w:sz="0" w:space="0" w:color="auto"/>
            <w:bottom w:val="none" w:sz="0" w:space="0" w:color="auto"/>
            <w:right w:val="none" w:sz="0" w:space="0" w:color="auto"/>
          </w:divBdr>
        </w:div>
        <w:div w:id="975834128">
          <w:marLeft w:val="0"/>
          <w:marRight w:val="0"/>
          <w:marTop w:val="0"/>
          <w:marBottom w:val="86"/>
          <w:divBdr>
            <w:top w:val="none" w:sz="0" w:space="0" w:color="auto"/>
            <w:left w:val="none" w:sz="0" w:space="0" w:color="auto"/>
            <w:bottom w:val="none" w:sz="0" w:space="0" w:color="auto"/>
            <w:right w:val="none" w:sz="0" w:space="0" w:color="auto"/>
          </w:divBdr>
        </w:div>
        <w:div w:id="1315573308">
          <w:marLeft w:val="0"/>
          <w:marRight w:val="0"/>
          <w:marTop w:val="0"/>
          <w:marBottom w:val="86"/>
          <w:divBdr>
            <w:top w:val="none" w:sz="0" w:space="0" w:color="auto"/>
            <w:left w:val="none" w:sz="0" w:space="0" w:color="auto"/>
            <w:bottom w:val="none" w:sz="0" w:space="0" w:color="auto"/>
            <w:right w:val="none" w:sz="0" w:space="0" w:color="auto"/>
          </w:divBdr>
        </w:div>
        <w:div w:id="258098789">
          <w:marLeft w:val="0"/>
          <w:marRight w:val="0"/>
          <w:marTop w:val="0"/>
          <w:marBottom w:val="86"/>
          <w:divBdr>
            <w:top w:val="none" w:sz="0" w:space="0" w:color="auto"/>
            <w:left w:val="none" w:sz="0" w:space="0" w:color="auto"/>
            <w:bottom w:val="none" w:sz="0" w:space="0" w:color="auto"/>
            <w:right w:val="none" w:sz="0" w:space="0" w:color="auto"/>
          </w:divBdr>
        </w:div>
        <w:div w:id="484051565">
          <w:marLeft w:val="0"/>
          <w:marRight w:val="0"/>
          <w:marTop w:val="0"/>
          <w:marBottom w:val="86"/>
          <w:divBdr>
            <w:top w:val="none" w:sz="0" w:space="0" w:color="auto"/>
            <w:left w:val="none" w:sz="0" w:space="0" w:color="auto"/>
            <w:bottom w:val="none" w:sz="0" w:space="0" w:color="auto"/>
            <w:right w:val="none" w:sz="0" w:space="0" w:color="auto"/>
          </w:divBdr>
        </w:div>
        <w:div w:id="1989943357">
          <w:marLeft w:val="0"/>
          <w:marRight w:val="0"/>
          <w:marTop w:val="0"/>
          <w:marBottom w:val="86"/>
          <w:divBdr>
            <w:top w:val="none" w:sz="0" w:space="0" w:color="auto"/>
            <w:left w:val="none" w:sz="0" w:space="0" w:color="auto"/>
            <w:bottom w:val="none" w:sz="0" w:space="0" w:color="auto"/>
            <w:right w:val="none" w:sz="0" w:space="0" w:color="auto"/>
          </w:divBdr>
        </w:div>
        <w:div w:id="1362244686">
          <w:marLeft w:val="0"/>
          <w:marRight w:val="0"/>
          <w:marTop w:val="0"/>
          <w:marBottom w:val="86"/>
          <w:divBdr>
            <w:top w:val="none" w:sz="0" w:space="0" w:color="auto"/>
            <w:left w:val="none" w:sz="0" w:space="0" w:color="auto"/>
            <w:bottom w:val="none" w:sz="0" w:space="0" w:color="auto"/>
            <w:right w:val="none" w:sz="0" w:space="0" w:color="auto"/>
          </w:divBdr>
        </w:div>
        <w:div w:id="737363416">
          <w:marLeft w:val="0"/>
          <w:marRight w:val="0"/>
          <w:marTop w:val="101"/>
          <w:marBottom w:val="86"/>
          <w:divBdr>
            <w:top w:val="none" w:sz="0" w:space="0" w:color="auto"/>
            <w:left w:val="none" w:sz="0" w:space="0" w:color="auto"/>
            <w:bottom w:val="none" w:sz="0" w:space="0" w:color="auto"/>
            <w:right w:val="none" w:sz="0" w:space="0" w:color="auto"/>
          </w:divBdr>
        </w:div>
        <w:div w:id="325019348">
          <w:marLeft w:val="0"/>
          <w:marRight w:val="0"/>
          <w:marTop w:val="0"/>
          <w:marBottom w:val="86"/>
          <w:divBdr>
            <w:top w:val="none" w:sz="0" w:space="0" w:color="auto"/>
            <w:left w:val="none" w:sz="0" w:space="0" w:color="auto"/>
            <w:bottom w:val="none" w:sz="0" w:space="0" w:color="auto"/>
            <w:right w:val="none" w:sz="0" w:space="0" w:color="auto"/>
          </w:divBdr>
        </w:div>
        <w:div w:id="146941910">
          <w:marLeft w:val="0"/>
          <w:marRight w:val="0"/>
          <w:marTop w:val="0"/>
          <w:marBottom w:val="86"/>
          <w:divBdr>
            <w:top w:val="none" w:sz="0" w:space="0" w:color="auto"/>
            <w:left w:val="none" w:sz="0" w:space="0" w:color="auto"/>
            <w:bottom w:val="none" w:sz="0" w:space="0" w:color="auto"/>
            <w:right w:val="none" w:sz="0" w:space="0" w:color="auto"/>
          </w:divBdr>
        </w:div>
        <w:div w:id="1352612621">
          <w:marLeft w:val="0"/>
          <w:marRight w:val="0"/>
          <w:marTop w:val="0"/>
          <w:marBottom w:val="86"/>
          <w:divBdr>
            <w:top w:val="none" w:sz="0" w:space="0" w:color="auto"/>
            <w:left w:val="none" w:sz="0" w:space="0" w:color="auto"/>
            <w:bottom w:val="none" w:sz="0" w:space="0" w:color="auto"/>
            <w:right w:val="none" w:sz="0" w:space="0" w:color="auto"/>
          </w:divBdr>
        </w:div>
        <w:div w:id="158275886">
          <w:marLeft w:val="0"/>
          <w:marRight w:val="0"/>
          <w:marTop w:val="0"/>
          <w:marBottom w:val="86"/>
          <w:divBdr>
            <w:top w:val="none" w:sz="0" w:space="0" w:color="auto"/>
            <w:left w:val="none" w:sz="0" w:space="0" w:color="auto"/>
            <w:bottom w:val="none" w:sz="0" w:space="0" w:color="auto"/>
            <w:right w:val="none" w:sz="0" w:space="0" w:color="auto"/>
          </w:divBdr>
        </w:div>
        <w:div w:id="275018701">
          <w:marLeft w:val="0"/>
          <w:marRight w:val="0"/>
          <w:marTop w:val="0"/>
          <w:marBottom w:val="86"/>
          <w:divBdr>
            <w:top w:val="none" w:sz="0" w:space="0" w:color="auto"/>
            <w:left w:val="none" w:sz="0" w:space="0" w:color="auto"/>
            <w:bottom w:val="none" w:sz="0" w:space="0" w:color="auto"/>
            <w:right w:val="none" w:sz="0" w:space="0" w:color="auto"/>
          </w:divBdr>
        </w:div>
        <w:div w:id="729886192">
          <w:marLeft w:val="0"/>
          <w:marRight w:val="0"/>
          <w:marTop w:val="0"/>
          <w:marBottom w:val="86"/>
          <w:divBdr>
            <w:top w:val="none" w:sz="0" w:space="0" w:color="auto"/>
            <w:left w:val="none" w:sz="0" w:space="0" w:color="auto"/>
            <w:bottom w:val="none" w:sz="0" w:space="0" w:color="auto"/>
            <w:right w:val="none" w:sz="0" w:space="0" w:color="auto"/>
          </w:divBdr>
        </w:div>
        <w:div w:id="1841457368">
          <w:marLeft w:val="0"/>
          <w:marRight w:val="0"/>
          <w:marTop w:val="0"/>
          <w:marBottom w:val="86"/>
          <w:divBdr>
            <w:top w:val="none" w:sz="0" w:space="0" w:color="auto"/>
            <w:left w:val="none" w:sz="0" w:space="0" w:color="auto"/>
            <w:bottom w:val="none" w:sz="0" w:space="0" w:color="auto"/>
            <w:right w:val="none" w:sz="0" w:space="0" w:color="auto"/>
          </w:divBdr>
        </w:div>
        <w:div w:id="1534809394">
          <w:marLeft w:val="0"/>
          <w:marRight w:val="0"/>
          <w:marTop w:val="0"/>
          <w:marBottom w:val="86"/>
          <w:divBdr>
            <w:top w:val="none" w:sz="0" w:space="0" w:color="auto"/>
            <w:left w:val="none" w:sz="0" w:space="0" w:color="auto"/>
            <w:bottom w:val="none" w:sz="0" w:space="0" w:color="auto"/>
            <w:right w:val="none" w:sz="0" w:space="0" w:color="auto"/>
          </w:divBdr>
        </w:div>
        <w:div w:id="178206942">
          <w:marLeft w:val="0"/>
          <w:marRight w:val="0"/>
          <w:marTop w:val="0"/>
          <w:marBottom w:val="8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2321</Words>
  <Characters>12767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2022-11-24T14:53:00Z</dcterms:created>
  <dcterms:modified xsi:type="dcterms:W3CDTF">2022-11-24T14:55:00Z</dcterms:modified>
</cp:coreProperties>
</file>