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423" w:rsidRDefault="00F80423" w:rsidP="00F80423">
      <w:pPr>
        <w:jc w:val="center"/>
        <w:rPr>
          <w:rFonts w:ascii="Verdana" w:hAnsi="Verdana"/>
          <w:b/>
          <w:bCs/>
          <w:color w:val="0070C0"/>
          <w:sz w:val="24"/>
        </w:rPr>
      </w:pPr>
      <w:r w:rsidRPr="00F80423">
        <w:rPr>
          <w:rFonts w:ascii="Verdana" w:hAnsi="Verdana"/>
          <w:b/>
          <w:bCs/>
          <w:color w:val="0070C0"/>
          <w:sz w:val="24"/>
        </w:rPr>
        <w:t xml:space="preserve">Resolución que modifica las Disposiciones de carácter general </w:t>
      </w:r>
      <w:r>
        <w:rPr>
          <w:rFonts w:ascii="Verdana" w:hAnsi="Verdana"/>
          <w:b/>
          <w:bCs/>
          <w:color w:val="0070C0"/>
          <w:sz w:val="24"/>
        </w:rPr>
        <w:t>aplicables a las casas de bolsa</w:t>
      </w:r>
    </w:p>
    <w:p w:rsidR="00F80423" w:rsidRDefault="00F80423" w:rsidP="00F80423">
      <w:pPr>
        <w:jc w:val="center"/>
        <w:rPr>
          <w:rFonts w:ascii="Verdana" w:hAnsi="Verdana"/>
          <w:b/>
          <w:bCs/>
          <w:color w:val="0070C0"/>
          <w:sz w:val="24"/>
        </w:rPr>
      </w:pPr>
      <w:r>
        <w:rPr>
          <w:rFonts w:ascii="Verdana" w:hAnsi="Verdana"/>
          <w:b/>
          <w:bCs/>
          <w:color w:val="0070C0"/>
          <w:sz w:val="24"/>
        </w:rPr>
        <w:t>(DOF del 18 de octubre de 2017)</w:t>
      </w:r>
    </w:p>
    <w:p w:rsidR="00F80423" w:rsidRPr="00F80423" w:rsidRDefault="00F80423" w:rsidP="00F80423">
      <w:pPr>
        <w:jc w:val="both"/>
        <w:rPr>
          <w:rFonts w:ascii="Verdana" w:hAnsi="Verdana"/>
          <w:b/>
          <w:bCs/>
          <w:sz w:val="20"/>
        </w:rPr>
      </w:pPr>
      <w:r w:rsidRPr="00F80423">
        <w:rPr>
          <w:rFonts w:ascii="Verdana" w:hAnsi="Verdana"/>
          <w:b/>
          <w:bCs/>
          <w:sz w:val="20"/>
        </w:rPr>
        <w:t>Al margen un sello con el Escudo Nacional, que dice: Estados Unidos Mexicanos.- Secretaría de Hacienda y Crédito Público.- Comisión Nacional Bancaria y de Valores.</w:t>
      </w:r>
    </w:p>
    <w:p w:rsidR="00F80423" w:rsidRPr="00F80423" w:rsidRDefault="00F80423" w:rsidP="00F80423">
      <w:pPr>
        <w:jc w:val="both"/>
        <w:rPr>
          <w:rFonts w:ascii="Verdana" w:hAnsi="Verdana"/>
          <w:bCs/>
          <w:sz w:val="20"/>
        </w:rPr>
      </w:pPr>
      <w:r w:rsidRPr="00F80423">
        <w:rPr>
          <w:rFonts w:ascii="Verdana" w:hAnsi="Verdana"/>
          <w:bCs/>
          <w:sz w:val="20"/>
        </w:rPr>
        <w:t>La Comisión Nacional Bancaria y de Valores, con fundamento en lo dispuesto por los artículos 126, segundo párrafo y 224, primer párrafo de la Ley del Mercado de Valores, así como 4, fracciones II y XXXVIII y 16, fracción I de la Ley de la Comisión Nacional Bancaria y de Valores, y</w:t>
      </w:r>
    </w:p>
    <w:p w:rsidR="00F80423" w:rsidRPr="00F80423" w:rsidRDefault="00F80423" w:rsidP="00F80423">
      <w:pPr>
        <w:jc w:val="both"/>
        <w:rPr>
          <w:rFonts w:ascii="Verdana" w:hAnsi="Verdana"/>
          <w:b/>
          <w:bCs/>
          <w:sz w:val="20"/>
        </w:rPr>
      </w:pPr>
      <w:r w:rsidRPr="00F80423">
        <w:rPr>
          <w:rFonts w:ascii="Verdana" w:hAnsi="Verdana"/>
          <w:b/>
          <w:bCs/>
          <w:sz w:val="20"/>
        </w:rPr>
        <w:t>CONSIDERANDO</w:t>
      </w:r>
    </w:p>
    <w:p w:rsidR="00F80423" w:rsidRPr="00F80423" w:rsidRDefault="00F80423" w:rsidP="00F80423">
      <w:pPr>
        <w:jc w:val="both"/>
        <w:rPr>
          <w:rFonts w:ascii="Verdana" w:hAnsi="Verdana"/>
          <w:bCs/>
          <w:sz w:val="20"/>
        </w:rPr>
      </w:pPr>
      <w:r w:rsidRPr="00F80423">
        <w:rPr>
          <w:rFonts w:ascii="Verdana" w:hAnsi="Verdana"/>
          <w:bCs/>
          <w:sz w:val="20"/>
        </w:rPr>
        <w:t>Que resulta necesario realizar precisiones al plazo para la entrada en vigor de las obligaciones que las casas de bolsa deben observar en materia del sistema de control interno, respecto del plan de continuidad de negocio, ha resuelto expedir la siguiente:</w:t>
      </w:r>
    </w:p>
    <w:p w:rsidR="00F80423" w:rsidRPr="00F80423" w:rsidRDefault="00F80423" w:rsidP="00F80423">
      <w:pPr>
        <w:jc w:val="both"/>
        <w:rPr>
          <w:rFonts w:ascii="Verdana" w:hAnsi="Verdana"/>
          <w:b/>
          <w:bCs/>
          <w:sz w:val="20"/>
        </w:rPr>
      </w:pPr>
      <w:r w:rsidRPr="00F80423">
        <w:rPr>
          <w:rFonts w:ascii="Verdana" w:hAnsi="Verdana"/>
          <w:b/>
          <w:bCs/>
          <w:sz w:val="20"/>
        </w:rPr>
        <w:t>RESOLUCIÓN QUE MODIFICA LAS DISPOSICIONES DE CARÁCTER GENERAL APLICABLES A LAS</w:t>
      </w:r>
      <w:r w:rsidRPr="00F80423">
        <w:rPr>
          <w:rFonts w:ascii="Verdana" w:hAnsi="Verdana"/>
          <w:b/>
          <w:bCs/>
          <w:sz w:val="20"/>
        </w:rPr>
        <w:br/>
        <w:t>CASAS DE BOLSA</w:t>
      </w:r>
    </w:p>
    <w:p w:rsidR="00F80423" w:rsidRPr="00F80423" w:rsidRDefault="00F80423" w:rsidP="00F80423">
      <w:pPr>
        <w:jc w:val="both"/>
        <w:rPr>
          <w:rFonts w:ascii="Verdana" w:hAnsi="Verdana"/>
          <w:bCs/>
          <w:sz w:val="20"/>
        </w:rPr>
      </w:pPr>
      <w:r w:rsidRPr="00F80423">
        <w:rPr>
          <w:rFonts w:ascii="Verdana" w:hAnsi="Verdana"/>
          <w:b/>
          <w:bCs/>
          <w:sz w:val="20"/>
        </w:rPr>
        <w:t>ÚNICO.-</w:t>
      </w:r>
      <w:r w:rsidRPr="00F80423">
        <w:rPr>
          <w:rFonts w:ascii="Verdana" w:hAnsi="Verdana"/>
          <w:bCs/>
          <w:sz w:val="20"/>
        </w:rPr>
        <w:t> Se </w:t>
      </w:r>
      <w:r w:rsidRPr="00F80423">
        <w:rPr>
          <w:rFonts w:ascii="Verdana" w:hAnsi="Verdana"/>
          <w:b/>
          <w:bCs/>
          <w:sz w:val="20"/>
        </w:rPr>
        <w:t>REFORMA </w:t>
      </w:r>
      <w:r w:rsidRPr="00F80423">
        <w:rPr>
          <w:rFonts w:ascii="Verdana" w:hAnsi="Verdana"/>
          <w:bCs/>
          <w:sz w:val="20"/>
        </w:rPr>
        <w:t>el artículo SEGUNDO TRANSITORIO, fracción I, primer párrafo de la "Resolución que modifica las disposiciones de carácter general aplicables a las casas de bolsa", publicada en el Diario Oficial de la Federación el 23 de junio de 2017 y modificada mediante "Resolución que modifica las disposiciones de carácter general aplicables a las casas de bolsa", publicada en el mismo medio de difusión el 5 de septiembre de 2017, para quedar como sigue:</w:t>
      </w:r>
    </w:p>
    <w:p w:rsidR="00F80423" w:rsidRPr="00F80423" w:rsidRDefault="00F80423" w:rsidP="00F80423">
      <w:pPr>
        <w:jc w:val="both"/>
        <w:rPr>
          <w:rFonts w:ascii="Verdana" w:hAnsi="Verdana"/>
          <w:bCs/>
          <w:sz w:val="20"/>
        </w:rPr>
      </w:pPr>
      <w:r w:rsidRPr="00F80423">
        <w:rPr>
          <w:rFonts w:ascii="Verdana" w:hAnsi="Verdana"/>
          <w:b/>
          <w:bCs/>
          <w:sz w:val="20"/>
        </w:rPr>
        <w:t>"SEGUNDO.</w:t>
      </w:r>
      <w:proofErr w:type="gramStart"/>
      <w:r w:rsidRPr="00F80423">
        <w:rPr>
          <w:rFonts w:ascii="Verdana" w:hAnsi="Verdana"/>
          <w:b/>
          <w:bCs/>
          <w:sz w:val="20"/>
        </w:rPr>
        <w:t>- .</w:t>
      </w:r>
      <w:proofErr w:type="gramEnd"/>
      <w:r w:rsidRPr="00F80423">
        <w:rPr>
          <w:rFonts w:ascii="Verdana" w:hAnsi="Verdana"/>
          <w:b/>
          <w:bCs/>
          <w:sz w:val="20"/>
        </w:rPr>
        <w:t xml:space="preserve"> . .</w:t>
      </w:r>
    </w:p>
    <w:p w:rsidR="00F80423" w:rsidRPr="00F80423" w:rsidRDefault="00F80423" w:rsidP="00F80423">
      <w:pPr>
        <w:jc w:val="both"/>
        <w:rPr>
          <w:rFonts w:ascii="Verdana" w:hAnsi="Verdana"/>
          <w:bCs/>
          <w:sz w:val="20"/>
        </w:rPr>
      </w:pPr>
      <w:r w:rsidRPr="00F80423">
        <w:rPr>
          <w:rFonts w:ascii="Verdana" w:hAnsi="Verdana"/>
          <w:bCs/>
          <w:sz w:val="20"/>
        </w:rPr>
        <w:t>I</w:t>
      </w:r>
      <w:r w:rsidRPr="00F80423">
        <w:rPr>
          <w:rFonts w:ascii="Verdana" w:hAnsi="Verdana"/>
          <w:b/>
          <w:bCs/>
          <w:sz w:val="20"/>
        </w:rPr>
        <w:t>.</w:t>
      </w:r>
      <w:r w:rsidRPr="00F80423">
        <w:rPr>
          <w:rFonts w:ascii="Verdana" w:hAnsi="Verdana"/>
          <w:bCs/>
          <w:sz w:val="20"/>
        </w:rPr>
        <w:t>     Hasta tres meses, para elaborar o, en su caso, modificar los manuales, políticas y procedimientos a que aluden los artículos 15 Bis; 59; 87, último párrafo; 117 Bis; 117 Bis 6; 117 Bis 13 y 117 Bis 15 que se adicionan a las "Disposiciones de carácter general aplicables a las casas de bolsa" mediante este instrumento, y someterlos a la autorización de la Comisión Nacional Bancaria y de Valores, según resulte aplicable.</w:t>
      </w:r>
    </w:p>
    <w:p w:rsidR="00F80423" w:rsidRPr="00F80423" w:rsidRDefault="00F80423" w:rsidP="00F80423">
      <w:pPr>
        <w:jc w:val="both"/>
        <w:rPr>
          <w:rFonts w:ascii="Verdana" w:hAnsi="Verdana"/>
          <w:bCs/>
          <w:sz w:val="20"/>
        </w:rPr>
      </w:pPr>
      <w:r w:rsidRPr="00F80423">
        <w:rPr>
          <w:rFonts w:ascii="Verdana" w:hAnsi="Verdana"/>
          <w:bCs/>
          <w:sz w:val="20"/>
        </w:rPr>
        <w:t>       </w:t>
      </w:r>
      <w:r w:rsidRPr="00F80423">
        <w:rPr>
          <w:rFonts w:ascii="Verdana" w:hAnsi="Verdana"/>
          <w:b/>
          <w:bCs/>
          <w:sz w:val="20"/>
        </w:rPr>
        <w:t>. . .</w:t>
      </w:r>
    </w:p>
    <w:p w:rsidR="00F80423" w:rsidRPr="00F80423" w:rsidRDefault="00F80423" w:rsidP="00F80423">
      <w:pPr>
        <w:jc w:val="both"/>
        <w:rPr>
          <w:rFonts w:ascii="Verdana" w:hAnsi="Verdana"/>
          <w:bCs/>
          <w:sz w:val="20"/>
        </w:rPr>
      </w:pPr>
      <w:r w:rsidRPr="00F80423">
        <w:rPr>
          <w:rFonts w:ascii="Verdana" w:hAnsi="Verdana"/>
          <w:bCs/>
          <w:sz w:val="20"/>
        </w:rPr>
        <w:t xml:space="preserve">II. </w:t>
      </w:r>
      <w:proofErr w:type="gramStart"/>
      <w:r w:rsidRPr="00F80423">
        <w:rPr>
          <w:rFonts w:ascii="Verdana" w:hAnsi="Verdana"/>
          <w:bCs/>
          <w:sz w:val="20"/>
        </w:rPr>
        <w:t>a</w:t>
      </w:r>
      <w:proofErr w:type="gramEnd"/>
      <w:r w:rsidRPr="00F80423">
        <w:rPr>
          <w:rFonts w:ascii="Verdana" w:hAnsi="Verdana"/>
          <w:bCs/>
          <w:sz w:val="20"/>
        </w:rPr>
        <w:t xml:space="preserve"> V. </w:t>
      </w:r>
      <w:r w:rsidRPr="00F80423">
        <w:rPr>
          <w:rFonts w:ascii="Verdana" w:hAnsi="Verdana"/>
          <w:b/>
          <w:bCs/>
          <w:sz w:val="20"/>
        </w:rPr>
        <w:t>. . ."</w:t>
      </w:r>
    </w:p>
    <w:p w:rsidR="00F80423" w:rsidRPr="00F80423" w:rsidRDefault="00F80423" w:rsidP="00F80423">
      <w:pPr>
        <w:jc w:val="both"/>
        <w:rPr>
          <w:rFonts w:ascii="Verdana" w:hAnsi="Verdana"/>
          <w:b/>
          <w:bCs/>
          <w:sz w:val="20"/>
        </w:rPr>
      </w:pPr>
      <w:r w:rsidRPr="00F80423">
        <w:rPr>
          <w:rFonts w:ascii="Verdana" w:hAnsi="Verdana"/>
          <w:b/>
          <w:bCs/>
          <w:sz w:val="20"/>
        </w:rPr>
        <w:t>TRANSITORIO</w:t>
      </w:r>
    </w:p>
    <w:p w:rsidR="00F80423" w:rsidRPr="00F80423" w:rsidRDefault="00F80423" w:rsidP="00F80423">
      <w:pPr>
        <w:jc w:val="both"/>
        <w:rPr>
          <w:rFonts w:ascii="Verdana" w:hAnsi="Verdana"/>
          <w:bCs/>
          <w:sz w:val="20"/>
        </w:rPr>
      </w:pPr>
      <w:r w:rsidRPr="00F80423">
        <w:rPr>
          <w:rFonts w:ascii="Verdana" w:hAnsi="Verdana"/>
          <w:b/>
          <w:bCs/>
          <w:sz w:val="20"/>
        </w:rPr>
        <w:t>ÚNICO. -</w:t>
      </w:r>
      <w:r w:rsidRPr="00F80423">
        <w:rPr>
          <w:rFonts w:ascii="Verdana" w:hAnsi="Verdana"/>
          <w:bCs/>
          <w:sz w:val="20"/>
        </w:rPr>
        <w:t> La presente Resolución entrará en vigor el día siguiente al de su publicación en el Diario Oficial de la Federación.</w:t>
      </w:r>
    </w:p>
    <w:p w:rsidR="00F80423" w:rsidRPr="00F80423" w:rsidRDefault="00F80423" w:rsidP="00F80423">
      <w:pPr>
        <w:jc w:val="both"/>
        <w:rPr>
          <w:rFonts w:ascii="Verdana" w:hAnsi="Verdana"/>
          <w:bCs/>
          <w:sz w:val="20"/>
        </w:rPr>
      </w:pPr>
      <w:r w:rsidRPr="00F80423">
        <w:rPr>
          <w:rFonts w:ascii="Verdana" w:hAnsi="Verdana"/>
          <w:bCs/>
          <w:sz w:val="20"/>
        </w:rPr>
        <w:t>Atentamente</w:t>
      </w:r>
    </w:p>
    <w:p w:rsidR="00F80423" w:rsidRPr="00F80423" w:rsidRDefault="00F80423" w:rsidP="00F80423">
      <w:pPr>
        <w:jc w:val="both"/>
        <w:rPr>
          <w:rFonts w:ascii="Verdana" w:hAnsi="Verdana"/>
          <w:bCs/>
          <w:sz w:val="20"/>
        </w:rPr>
      </w:pPr>
      <w:r w:rsidRPr="00F80423">
        <w:rPr>
          <w:rFonts w:ascii="Verdana" w:hAnsi="Verdana"/>
          <w:bCs/>
          <w:sz w:val="20"/>
        </w:rPr>
        <w:lastRenderedPageBreak/>
        <w:t>Ciudad de México a 9 de octubre de 2017.- El Presidente de la Comisión Nacional Bancaria y de Valores, </w:t>
      </w:r>
      <w:r w:rsidRPr="00F80423">
        <w:rPr>
          <w:rFonts w:ascii="Verdana" w:hAnsi="Verdana"/>
          <w:b/>
          <w:bCs/>
          <w:sz w:val="20"/>
        </w:rPr>
        <w:t>Jaime González Aguadé</w:t>
      </w:r>
      <w:r w:rsidRPr="00F80423">
        <w:rPr>
          <w:rFonts w:ascii="Verdana" w:hAnsi="Verdana"/>
          <w:bCs/>
          <w:sz w:val="20"/>
        </w:rPr>
        <w:t>.- Rúbrica.</w:t>
      </w:r>
    </w:p>
    <w:p w:rsidR="00F80423" w:rsidRPr="00F80423" w:rsidRDefault="00F80423" w:rsidP="00F80423">
      <w:pPr>
        <w:jc w:val="both"/>
        <w:rPr>
          <w:rFonts w:ascii="Verdana" w:hAnsi="Verdana"/>
          <w:bCs/>
          <w:sz w:val="20"/>
        </w:rPr>
      </w:pPr>
      <w:bookmarkStart w:id="0" w:name="_GoBack"/>
      <w:bookmarkEnd w:id="0"/>
    </w:p>
    <w:p w:rsidR="00BF3AEB" w:rsidRDefault="00F80423"/>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423"/>
    <w:rsid w:val="002228FA"/>
    <w:rsid w:val="00C06CE1"/>
    <w:rsid w:val="00F804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161201">
      <w:bodyDiv w:val="1"/>
      <w:marLeft w:val="0"/>
      <w:marRight w:val="0"/>
      <w:marTop w:val="0"/>
      <w:marBottom w:val="0"/>
      <w:divBdr>
        <w:top w:val="none" w:sz="0" w:space="0" w:color="auto"/>
        <w:left w:val="none" w:sz="0" w:space="0" w:color="auto"/>
        <w:bottom w:val="none" w:sz="0" w:space="0" w:color="auto"/>
        <w:right w:val="none" w:sz="0" w:space="0" w:color="auto"/>
      </w:divBdr>
    </w:div>
    <w:div w:id="1508985250">
      <w:bodyDiv w:val="1"/>
      <w:marLeft w:val="0"/>
      <w:marRight w:val="0"/>
      <w:marTop w:val="0"/>
      <w:marBottom w:val="0"/>
      <w:divBdr>
        <w:top w:val="none" w:sz="0" w:space="0" w:color="auto"/>
        <w:left w:val="none" w:sz="0" w:space="0" w:color="auto"/>
        <w:bottom w:val="none" w:sz="0" w:space="0" w:color="auto"/>
        <w:right w:val="none" w:sz="0" w:space="0" w:color="auto"/>
      </w:divBdr>
      <w:divsChild>
        <w:div w:id="792483293">
          <w:marLeft w:val="0"/>
          <w:marRight w:val="0"/>
          <w:marTop w:val="0"/>
          <w:marBottom w:val="101"/>
          <w:divBdr>
            <w:top w:val="none" w:sz="0" w:space="0" w:color="auto"/>
            <w:left w:val="none" w:sz="0" w:space="0" w:color="auto"/>
            <w:bottom w:val="none" w:sz="0" w:space="0" w:color="auto"/>
            <w:right w:val="none" w:sz="0" w:space="0" w:color="auto"/>
          </w:divBdr>
        </w:div>
        <w:div w:id="273288161">
          <w:marLeft w:val="0"/>
          <w:marRight w:val="0"/>
          <w:marTop w:val="101"/>
          <w:marBottom w:val="101"/>
          <w:divBdr>
            <w:top w:val="none" w:sz="0" w:space="0" w:color="auto"/>
            <w:left w:val="none" w:sz="0" w:space="0" w:color="auto"/>
            <w:bottom w:val="none" w:sz="0" w:space="0" w:color="auto"/>
            <w:right w:val="none" w:sz="0" w:space="0" w:color="auto"/>
          </w:divBdr>
        </w:div>
        <w:div w:id="1404598043">
          <w:marLeft w:val="0"/>
          <w:marRight w:val="0"/>
          <w:marTop w:val="0"/>
          <w:marBottom w:val="101"/>
          <w:divBdr>
            <w:top w:val="none" w:sz="0" w:space="0" w:color="auto"/>
            <w:left w:val="none" w:sz="0" w:space="0" w:color="auto"/>
            <w:bottom w:val="none" w:sz="0" w:space="0" w:color="auto"/>
            <w:right w:val="none" w:sz="0" w:space="0" w:color="auto"/>
          </w:divBdr>
        </w:div>
        <w:div w:id="13654016">
          <w:marLeft w:val="0"/>
          <w:marRight w:val="0"/>
          <w:marTop w:val="101"/>
          <w:marBottom w:val="101"/>
          <w:divBdr>
            <w:top w:val="none" w:sz="0" w:space="0" w:color="auto"/>
            <w:left w:val="none" w:sz="0" w:space="0" w:color="auto"/>
            <w:bottom w:val="none" w:sz="0" w:space="0" w:color="auto"/>
            <w:right w:val="none" w:sz="0" w:space="0" w:color="auto"/>
          </w:divBdr>
        </w:div>
        <w:div w:id="428550059">
          <w:marLeft w:val="0"/>
          <w:marRight w:val="0"/>
          <w:marTop w:val="0"/>
          <w:marBottom w:val="101"/>
          <w:divBdr>
            <w:top w:val="none" w:sz="0" w:space="0" w:color="auto"/>
            <w:left w:val="none" w:sz="0" w:space="0" w:color="auto"/>
            <w:bottom w:val="none" w:sz="0" w:space="0" w:color="auto"/>
            <w:right w:val="none" w:sz="0" w:space="0" w:color="auto"/>
          </w:divBdr>
        </w:div>
        <w:div w:id="1777366609">
          <w:marLeft w:val="0"/>
          <w:marRight w:val="0"/>
          <w:marTop w:val="0"/>
          <w:marBottom w:val="101"/>
          <w:divBdr>
            <w:top w:val="none" w:sz="0" w:space="0" w:color="auto"/>
            <w:left w:val="none" w:sz="0" w:space="0" w:color="auto"/>
            <w:bottom w:val="none" w:sz="0" w:space="0" w:color="auto"/>
            <w:right w:val="none" w:sz="0" w:space="0" w:color="auto"/>
          </w:divBdr>
        </w:div>
        <w:div w:id="905988857">
          <w:marLeft w:val="720"/>
          <w:marRight w:val="0"/>
          <w:marTop w:val="0"/>
          <w:marBottom w:val="101"/>
          <w:divBdr>
            <w:top w:val="none" w:sz="0" w:space="0" w:color="auto"/>
            <w:left w:val="none" w:sz="0" w:space="0" w:color="auto"/>
            <w:bottom w:val="none" w:sz="0" w:space="0" w:color="auto"/>
            <w:right w:val="none" w:sz="0" w:space="0" w:color="auto"/>
          </w:divBdr>
        </w:div>
        <w:div w:id="1077290558">
          <w:marLeft w:val="0"/>
          <w:marRight w:val="0"/>
          <w:marTop w:val="0"/>
          <w:marBottom w:val="101"/>
          <w:divBdr>
            <w:top w:val="none" w:sz="0" w:space="0" w:color="auto"/>
            <w:left w:val="none" w:sz="0" w:space="0" w:color="auto"/>
            <w:bottom w:val="none" w:sz="0" w:space="0" w:color="auto"/>
            <w:right w:val="none" w:sz="0" w:space="0" w:color="auto"/>
          </w:divBdr>
        </w:div>
        <w:div w:id="997535002">
          <w:marLeft w:val="0"/>
          <w:marRight w:val="0"/>
          <w:marTop w:val="0"/>
          <w:marBottom w:val="101"/>
          <w:divBdr>
            <w:top w:val="none" w:sz="0" w:space="0" w:color="auto"/>
            <w:left w:val="none" w:sz="0" w:space="0" w:color="auto"/>
            <w:bottom w:val="none" w:sz="0" w:space="0" w:color="auto"/>
            <w:right w:val="none" w:sz="0" w:space="0" w:color="auto"/>
          </w:divBdr>
        </w:div>
        <w:div w:id="1330937767">
          <w:marLeft w:val="0"/>
          <w:marRight w:val="0"/>
          <w:marTop w:val="101"/>
          <w:marBottom w:val="101"/>
          <w:divBdr>
            <w:top w:val="none" w:sz="0" w:space="0" w:color="auto"/>
            <w:left w:val="none" w:sz="0" w:space="0" w:color="auto"/>
            <w:bottom w:val="none" w:sz="0" w:space="0" w:color="auto"/>
            <w:right w:val="none" w:sz="0" w:space="0" w:color="auto"/>
          </w:divBdr>
        </w:div>
        <w:div w:id="1336303865">
          <w:marLeft w:val="0"/>
          <w:marRight w:val="0"/>
          <w:marTop w:val="0"/>
          <w:marBottom w:val="101"/>
          <w:divBdr>
            <w:top w:val="none" w:sz="0" w:space="0" w:color="auto"/>
            <w:left w:val="none" w:sz="0" w:space="0" w:color="auto"/>
            <w:bottom w:val="none" w:sz="0" w:space="0" w:color="auto"/>
            <w:right w:val="none" w:sz="0" w:space="0" w:color="auto"/>
          </w:divBdr>
        </w:div>
        <w:div w:id="1186753099">
          <w:marLeft w:val="0"/>
          <w:marRight w:val="0"/>
          <w:marTop w:val="0"/>
          <w:marBottom w:val="101"/>
          <w:divBdr>
            <w:top w:val="none" w:sz="0" w:space="0" w:color="auto"/>
            <w:left w:val="none" w:sz="0" w:space="0" w:color="auto"/>
            <w:bottom w:val="none" w:sz="0" w:space="0" w:color="auto"/>
            <w:right w:val="none" w:sz="0" w:space="0" w:color="auto"/>
          </w:divBdr>
        </w:div>
        <w:div w:id="1529101455">
          <w:marLeft w:val="0"/>
          <w:marRight w:val="0"/>
          <w:marTop w:val="0"/>
          <w:marBottom w:val="101"/>
          <w:divBdr>
            <w:top w:val="none" w:sz="0" w:space="0" w:color="auto"/>
            <w:left w:val="none" w:sz="0" w:space="0" w:color="auto"/>
            <w:bottom w:val="none" w:sz="0" w:space="0" w:color="auto"/>
            <w:right w:val="none" w:sz="0" w:space="0" w:color="auto"/>
          </w:divBdr>
        </w:div>
      </w:divsChild>
    </w:div>
    <w:div w:id="1888106509">
      <w:bodyDiv w:val="1"/>
      <w:marLeft w:val="0"/>
      <w:marRight w:val="0"/>
      <w:marTop w:val="0"/>
      <w:marBottom w:val="0"/>
      <w:divBdr>
        <w:top w:val="none" w:sz="0" w:space="0" w:color="auto"/>
        <w:left w:val="none" w:sz="0" w:space="0" w:color="auto"/>
        <w:bottom w:val="none" w:sz="0" w:space="0" w:color="auto"/>
        <w:right w:val="none" w:sz="0" w:space="0" w:color="auto"/>
      </w:divBdr>
    </w:div>
    <w:div w:id="2014798339">
      <w:bodyDiv w:val="1"/>
      <w:marLeft w:val="0"/>
      <w:marRight w:val="0"/>
      <w:marTop w:val="0"/>
      <w:marBottom w:val="0"/>
      <w:divBdr>
        <w:top w:val="none" w:sz="0" w:space="0" w:color="auto"/>
        <w:left w:val="none" w:sz="0" w:space="0" w:color="auto"/>
        <w:bottom w:val="none" w:sz="0" w:space="0" w:color="auto"/>
        <w:right w:val="none" w:sz="0" w:space="0" w:color="auto"/>
      </w:divBdr>
      <w:divsChild>
        <w:div w:id="661278322">
          <w:marLeft w:val="0"/>
          <w:marRight w:val="0"/>
          <w:marTop w:val="0"/>
          <w:marBottom w:val="101"/>
          <w:divBdr>
            <w:top w:val="none" w:sz="0" w:space="0" w:color="auto"/>
            <w:left w:val="none" w:sz="0" w:space="0" w:color="auto"/>
            <w:bottom w:val="none" w:sz="0" w:space="0" w:color="auto"/>
            <w:right w:val="none" w:sz="0" w:space="0" w:color="auto"/>
          </w:divBdr>
        </w:div>
        <w:div w:id="55126613">
          <w:marLeft w:val="0"/>
          <w:marRight w:val="0"/>
          <w:marTop w:val="101"/>
          <w:marBottom w:val="101"/>
          <w:divBdr>
            <w:top w:val="none" w:sz="0" w:space="0" w:color="auto"/>
            <w:left w:val="none" w:sz="0" w:space="0" w:color="auto"/>
            <w:bottom w:val="none" w:sz="0" w:space="0" w:color="auto"/>
            <w:right w:val="none" w:sz="0" w:space="0" w:color="auto"/>
          </w:divBdr>
        </w:div>
        <w:div w:id="579094648">
          <w:marLeft w:val="0"/>
          <w:marRight w:val="0"/>
          <w:marTop w:val="0"/>
          <w:marBottom w:val="101"/>
          <w:divBdr>
            <w:top w:val="none" w:sz="0" w:space="0" w:color="auto"/>
            <w:left w:val="none" w:sz="0" w:space="0" w:color="auto"/>
            <w:bottom w:val="none" w:sz="0" w:space="0" w:color="auto"/>
            <w:right w:val="none" w:sz="0" w:space="0" w:color="auto"/>
          </w:divBdr>
        </w:div>
        <w:div w:id="1179126710">
          <w:marLeft w:val="0"/>
          <w:marRight w:val="0"/>
          <w:marTop w:val="101"/>
          <w:marBottom w:val="101"/>
          <w:divBdr>
            <w:top w:val="none" w:sz="0" w:space="0" w:color="auto"/>
            <w:left w:val="none" w:sz="0" w:space="0" w:color="auto"/>
            <w:bottom w:val="none" w:sz="0" w:space="0" w:color="auto"/>
            <w:right w:val="none" w:sz="0" w:space="0" w:color="auto"/>
          </w:divBdr>
        </w:div>
        <w:div w:id="1211111363">
          <w:marLeft w:val="0"/>
          <w:marRight w:val="0"/>
          <w:marTop w:val="0"/>
          <w:marBottom w:val="101"/>
          <w:divBdr>
            <w:top w:val="none" w:sz="0" w:space="0" w:color="auto"/>
            <w:left w:val="none" w:sz="0" w:space="0" w:color="auto"/>
            <w:bottom w:val="none" w:sz="0" w:space="0" w:color="auto"/>
            <w:right w:val="none" w:sz="0" w:space="0" w:color="auto"/>
          </w:divBdr>
        </w:div>
        <w:div w:id="327292049">
          <w:marLeft w:val="0"/>
          <w:marRight w:val="0"/>
          <w:marTop w:val="0"/>
          <w:marBottom w:val="101"/>
          <w:divBdr>
            <w:top w:val="none" w:sz="0" w:space="0" w:color="auto"/>
            <w:left w:val="none" w:sz="0" w:space="0" w:color="auto"/>
            <w:bottom w:val="none" w:sz="0" w:space="0" w:color="auto"/>
            <w:right w:val="none" w:sz="0" w:space="0" w:color="auto"/>
          </w:divBdr>
        </w:div>
        <w:div w:id="378360351">
          <w:marLeft w:val="720"/>
          <w:marRight w:val="0"/>
          <w:marTop w:val="0"/>
          <w:marBottom w:val="101"/>
          <w:divBdr>
            <w:top w:val="none" w:sz="0" w:space="0" w:color="auto"/>
            <w:left w:val="none" w:sz="0" w:space="0" w:color="auto"/>
            <w:bottom w:val="none" w:sz="0" w:space="0" w:color="auto"/>
            <w:right w:val="none" w:sz="0" w:space="0" w:color="auto"/>
          </w:divBdr>
        </w:div>
        <w:div w:id="2094692674">
          <w:marLeft w:val="0"/>
          <w:marRight w:val="0"/>
          <w:marTop w:val="0"/>
          <w:marBottom w:val="101"/>
          <w:divBdr>
            <w:top w:val="none" w:sz="0" w:space="0" w:color="auto"/>
            <w:left w:val="none" w:sz="0" w:space="0" w:color="auto"/>
            <w:bottom w:val="none" w:sz="0" w:space="0" w:color="auto"/>
            <w:right w:val="none" w:sz="0" w:space="0" w:color="auto"/>
          </w:divBdr>
        </w:div>
        <w:div w:id="2115514184">
          <w:marLeft w:val="0"/>
          <w:marRight w:val="0"/>
          <w:marTop w:val="0"/>
          <w:marBottom w:val="101"/>
          <w:divBdr>
            <w:top w:val="none" w:sz="0" w:space="0" w:color="auto"/>
            <w:left w:val="none" w:sz="0" w:space="0" w:color="auto"/>
            <w:bottom w:val="none" w:sz="0" w:space="0" w:color="auto"/>
            <w:right w:val="none" w:sz="0" w:space="0" w:color="auto"/>
          </w:divBdr>
        </w:div>
        <w:div w:id="1737169887">
          <w:marLeft w:val="0"/>
          <w:marRight w:val="0"/>
          <w:marTop w:val="101"/>
          <w:marBottom w:val="101"/>
          <w:divBdr>
            <w:top w:val="none" w:sz="0" w:space="0" w:color="auto"/>
            <w:left w:val="none" w:sz="0" w:space="0" w:color="auto"/>
            <w:bottom w:val="none" w:sz="0" w:space="0" w:color="auto"/>
            <w:right w:val="none" w:sz="0" w:space="0" w:color="auto"/>
          </w:divBdr>
        </w:div>
        <w:div w:id="1439838981">
          <w:marLeft w:val="0"/>
          <w:marRight w:val="0"/>
          <w:marTop w:val="0"/>
          <w:marBottom w:val="101"/>
          <w:divBdr>
            <w:top w:val="none" w:sz="0" w:space="0" w:color="auto"/>
            <w:left w:val="none" w:sz="0" w:space="0" w:color="auto"/>
            <w:bottom w:val="none" w:sz="0" w:space="0" w:color="auto"/>
            <w:right w:val="none" w:sz="0" w:space="0" w:color="auto"/>
          </w:divBdr>
        </w:div>
        <w:div w:id="1609579454">
          <w:marLeft w:val="0"/>
          <w:marRight w:val="0"/>
          <w:marTop w:val="0"/>
          <w:marBottom w:val="101"/>
          <w:divBdr>
            <w:top w:val="none" w:sz="0" w:space="0" w:color="auto"/>
            <w:left w:val="none" w:sz="0" w:space="0" w:color="auto"/>
            <w:bottom w:val="none" w:sz="0" w:space="0" w:color="auto"/>
            <w:right w:val="none" w:sz="0" w:space="0" w:color="auto"/>
          </w:divBdr>
        </w:div>
        <w:div w:id="2267654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332</Words>
  <Characters>1831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2017-10-18T13:10:00Z</dcterms:created>
  <dcterms:modified xsi:type="dcterms:W3CDTF">2017-10-18T13:12:00Z</dcterms:modified>
</cp:coreProperties>
</file>