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0C" w:rsidRPr="004450A0" w:rsidRDefault="007D790C" w:rsidP="007D790C">
      <w:pPr>
        <w:jc w:val="center"/>
        <w:rPr>
          <w:rFonts w:ascii="Verdana" w:eastAsia="Verdana" w:hAnsi="Verdana" w:cs="Verdana"/>
          <w:b/>
          <w:bCs/>
          <w:color w:val="0000FF"/>
          <w:sz w:val="24"/>
          <w:szCs w:val="24"/>
        </w:rPr>
      </w:pPr>
      <w:r w:rsidRPr="007D790C">
        <w:rPr>
          <w:rFonts w:ascii="Verdana" w:eastAsia="Verdana" w:hAnsi="Verdana" w:cs="Verdana"/>
          <w:b/>
          <w:bCs/>
          <w:color w:val="0000FF"/>
          <w:sz w:val="24"/>
          <w:szCs w:val="24"/>
        </w:rPr>
        <w:t>ACUERDO G/JGA/1/2024 por el cual se da a conocer la adscripción del Magistrado Mario de la Huerta Portillo a la Tercera Ponencia de la Sala Regional del Centro I, con sede en la Ciudad de Aguascalientes, Estado de Aguascalientes.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A6A46" w:rsidRDefault="007D790C" w:rsidP="007D790C">
      <w:pPr>
        <w:jc w:val="both"/>
        <w:rPr>
          <w:rFonts w:ascii="Arial" w:eastAsia="Times New Roman" w:hAnsi="Arial" w:cs="Arial"/>
          <w:b/>
          <w:color w:val="2F2F2F"/>
          <w:sz w:val="20"/>
          <w:szCs w:val="16"/>
          <w:lang w:eastAsia="es-MX"/>
        </w:rPr>
      </w:pPr>
      <w:r w:rsidRPr="007D790C">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7D790C" w:rsidRPr="007D790C" w:rsidRDefault="007D790C" w:rsidP="007D79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790C">
        <w:rPr>
          <w:rFonts w:ascii="Times" w:eastAsia="Times New Roman" w:hAnsi="Times" w:cs="Times"/>
          <w:b/>
          <w:bCs/>
          <w:color w:val="2F2F2F"/>
          <w:sz w:val="18"/>
          <w:szCs w:val="18"/>
          <w:lang w:eastAsia="es-MX"/>
        </w:rPr>
        <w:t>ACUERDO G/JGA/1/2024</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color w:val="2F2F2F"/>
          <w:sz w:val="18"/>
          <w:szCs w:val="18"/>
          <w:lang w:eastAsia="es-MX"/>
        </w:rPr>
        <w:t>ADSCRIPCIÓN DEL MAGISTRADO MARIO DE LA HUERTA PORTILLO A LA TERCERA PONENCIA DE LA SALA REGIONAL DEL CENTRO I, CON SEDE EN LA CIUDAD DE AGUASCALIENTES, ESTADO DE AGUASCALIENTES</w:t>
      </w:r>
    </w:p>
    <w:p w:rsidR="007D790C" w:rsidRPr="007D790C" w:rsidRDefault="007D790C" w:rsidP="007D79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790C">
        <w:rPr>
          <w:rFonts w:ascii="Times" w:eastAsia="Times New Roman" w:hAnsi="Times" w:cs="Times"/>
          <w:b/>
          <w:bCs/>
          <w:color w:val="2F2F2F"/>
          <w:sz w:val="18"/>
          <w:szCs w:val="18"/>
          <w:lang w:eastAsia="es-MX"/>
        </w:rPr>
        <w:t>CONSIDERANDOS</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1. </w:t>
      </w:r>
      <w:r w:rsidRPr="007D790C">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2. </w:t>
      </w:r>
      <w:r w:rsidRPr="007D790C">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3. </w:t>
      </w:r>
      <w:r w:rsidRPr="007D790C">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4. </w:t>
      </w:r>
      <w:r w:rsidRPr="007D790C">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5. </w:t>
      </w:r>
      <w:r w:rsidRPr="007D790C">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6. </w:t>
      </w:r>
      <w:r w:rsidRPr="007D790C">
        <w:rPr>
          <w:rFonts w:ascii="Arial" w:eastAsia="Times New Roman" w:hAnsi="Arial" w:cs="Arial"/>
          <w:color w:val="2F2F2F"/>
          <w:sz w:val="18"/>
          <w:szCs w:val="18"/>
          <w:lang w:eastAsia="es-MX"/>
        </w:rPr>
        <w:t>Que en sesión de fecha 27 de septiembre de 2016 la Junta de Gobierno y Administración emitió el Acuerdo </w:t>
      </w:r>
      <w:r w:rsidRPr="007D790C">
        <w:rPr>
          <w:rFonts w:ascii="Arial" w:eastAsia="Times New Roman" w:hAnsi="Arial" w:cs="Arial"/>
          <w:b/>
          <w:bCs/>
          <w:color w:val="2F2F2F"/>
          <w:sz w:val="18"/>
          <w:szCs w:val="18"/>
          <w:lang w:eastAsia="es-MX"/>
        </w:rPr>
        <w:t>G/JGA/62/2016 </w:t>
      </w:r>
      <w:r w:rsidRPr="007D790C">
        <w:rPr>
          <w:rFonts w:ascii="Arial" w:eastAsia="Times New Roman" w:hAnsi="Arial" w:cs="Arial"/>
          <w:color w:val="2F2F2F"/>
          <w:sz w:val="18"/>
          <w:szCs w:val="18"/>
          <w:lang w:eastAsia="es-MX"/>
        </w:rPr>
        <w:t>en el que, entre otros movimientos, se adscribió al Magistrado Mario de la Huerta Portillo a la Tercera Ponencia de la Sala Regional del Centro I.</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7. </w:t>
      </w:r>
      <w:r w:rsidRPr="007D790C">
        <w:rPr>
          <w:rFonts w:ascii="Arial" w:eastAsia="Times New Roman" w:hAnsi="Arial" w:cs="Arial"/>
          <w:color w:val="2F2F2F"/>
          <w:sz w:val="18"/>
          <w:szCs w:val="18"/>
          <w:lang w:eastAsia="es-MX"/>
        </w:rPr>
        <w:t>Que el nombramiento expedido por el Titular del Ejecutivo Federal en favor del Magistrados Mario de la Huerta Portillo concluyó sus efectos el 24 de febrero de 2020.</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8. </w:t>
      </w:r>
      <w:r w:rsidRPr="007D790C">
        <w:rPr>
          <w:rFonts w:ascii="Arial" w:eastAsia="Times New Roman" w:hAnsi="Arial" w:cs="Arial"/>
          <w:color w:val="2F2F2F"/>
          <w:sz w:val="18"/>
          <w:szCs w:val="18"/>
          <w:lang w:eastAsia="es-MX"/>
        </w:rPr>
        <w:t>Que mediante Acuerdo </w:t>
      </w:r>
      <w:r w:rsidRPr="007D790C">
        <w:rPr>
          <w:rFonts w:ascii="Arial" w:eastAsia="Times New Roman" w:hAnsi="Arial" w:cs="Arial"/>
          <w:b/>
          <w:bCs/>
          <w:color w:val="2F2F2F"/>
          <w:sz w:val="18"/>
          <w:szCs w:val="18"/>
          <w:lang w:eastAsia="es-MX"/>
        </w:rPr>
        <w:t>G/JGA/21/2020, </w:t>
      </w:r>
      <w:r w:rsidRPr="007D790C">
        <w:rPr>
          <w:rFonts w:ascii="Arial" w:eastAsia="Times New Roman" w:hAnsi="Arial" w:cs="Arial"/>
          <w:color w:val="2F2F2F"/>
          <w:sz w:val="18"/>
          <w:szCs w:val="18"/>
          <w:lang w:eastAsia="es-MX"/>
        </w:rPr>
        <w:t>aprobado por la Junta de Gobierno y Administración en sesión de 26 de febrero de 2020, se</w:t>
      </w:r>
      <w:r w:rsidRPr="007D790C">
        <w:rPr>
          <w:rFonts w:ascii="Arial" w:eastAsia="Times New Roman" w:hAnsi="Arial" w:cs="Arial"/>
          <w:b/>
          <w:bCs/>
          <w:color w:val="2F2F2F"/>
          <w:sz w:val="18"/>
          <w:szCs w:val="18"/>
          <w:lang w:eastAsia="es-MX"/>
        </w:rPr>
        <w:t> </w:t>
      </w:r>
      <w:r w:rsidRPr="007D790C">
        <w:rPr>
          <w:rFonts w:ascii="Arial" w:eastAsia="Times New Roman" w:hAnsi="Arial" w:cs="Arial"/>
          <w:color w:val="2F2F2F"/>
          <w:sz w:val="18"/>
          <w:szCs w:val="18"/>
          <w:lang w:eastAsia="es-MX"/>
        </w:rPr>
        <w:t>autorizó que el Licenciado Víctor Alfonso Lomelí Serrano, Primer Secretario de Acuerdos de la Tercera Ponencia de la Sala Regional del Centro I, supliera la falta definitiva de Magistrado Titular en la Ponencia de su adscripción.</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9. </w:t>
      </w:r>
      <w:r w:rsidRPr="007D790C">
        <w:rPr>
          <w:rFonts w:ascii="Arial" w:eastAsia="Times New Roman" w:hAnsi="Arial" w:cs="Arial"/>
          <w:color w:val="2F2F2F"/>
          <w:sz w:val="18"/>
          <w:szCs w:val="18"/>
          <w:lang w:eastAsia="es-MX"/>
        </w:rPr>
        <w:t>Que en sesión de la presente fecha la Junta de Gobierno y Administración tomó conocimiento del oficio UAJ/UJ/893/2023 mediante el cual el Titular de la Unidad de Asuntos Jurídicos del Tribunal, informó que mediante resolución de fecha 16 de noviembre de 2023, emitida por el Tercer Tribunal Colegiado del Trigésimo Circuito dentro de los autos del incidente de suspensión, derivado del juicio de amparo 421/2023-IV, promovido por el </w:t>
      </w:r>
      <w:r w:rsidRPr="007D790C">
        <w:rPr>
          <w:rFonts w:ascii="Arial" w:eastAsia="Times New Roman" w:hAnsi="Arial" w:cs="Arial"/>
          <w:b/>
          <w:bCs/>
          <w:color w:val="2F2F2F"/>
          <w:sz w:val="18"/>
          <w:szCs w:val="18"/>
          <w:lang w:eastAsia="es-MX"/>
        </w:rPr>
        <w:t>C. Mario de la Huerta Portillo</w:t>
      </w:r>
      <w:r w:rsidRPr="007D790C">
        <w:rPr>
          <w:rFonts w:ascii="Arial" w:eastAsia="Times New Roman" w:hAnsi="Arial" w:cs="Arial"/>
          <w:color w:val="2F2F2F"/>
          <w:sz w:val="18"/>
          <w:szCs w:val="18"/>
          <w:lang w:eastAsia="es-MX"/>
        </w:rPr>
        <w:t>, se concedió la suspensión definitiva al quejoso, para el efecto de que se le reincorpore en el cargo de Magistrado de Sala Regional en su última adscripción, esto es, en la Tercera Ponencia de la Sala Regional del Centro I, hasta en tanto el Titular del Poder Ejecutivo Federal y el Senado de la República concluyan el procedimiento de su ratificación o bien, se resuelva el juicio de amparo en lo principal.</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color w:val="2F2F2F"/>
          <w:sz w:val="18"/>
          <w:szCs w:val="18"/>
          <w:lang w:eastAsia="es-MX"/>
        </w:rPr>
        <w:lastRenderedPageBreak/>
        <w:t>Consecuentemente, con fundamento en lo dispuesto por los artículos 17 y 73 fracción XXIX-H de la Constitución Política de los Estados </w:t>
      </w:r>
      <w:r w:rsidRPr="007D790C">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7D790C">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7D790C" w:rsidRPr="007D790C" w:rsidRDefault="007D790C" w:rsidP="007D79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790C">
        <w:rPr>
          <w:rFonts w:ascii="Times" w:eastAsia="Times New Roman" w:hAnsi="Times" w:cs="Times"/>
          <w:b/>
          <w:bCs/>
          <w:color w:val="2F2F2F"/>
          <w:sz w:val="18"/>
          <w:szCs w:val="18"/>
          <w:lang w:eastAsia="es-MX"/>
        </w:rPr>
        <w:t>ACUERDO</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Primero. </w:t>
      </w:r>
      <w:r w:rsidRPr="007D790C">
        <w:rPr>
          <w:rFonts w:ascii="Arial" w:eastAsia="Times New Roman" w:hAnsi="Arial" w:cs="Arial"/>
          <w:color w:val="2F2F2F"/>
          <w:sz w:val="18"/>
          <w:szCs w:val="18"/>
          <w:lang w:eastAsia="es-MX"/>
        </w:rPr>
        <w:t>En estricto cumplimiento a la resolución referida en el Considerando Noveno del presente Acuerdo, la Junta de Gobierno y Administración aprueba la adscripción del Magistrado Mario de la Huerta Portillo a la Tercera Ponencia de la Sala Regional del Centro I, con sede en la Ciudad de Aguascalientes, Estado de Aguascalientes.</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Segundo. </w:t>
      </w:r>
      <w:r w:rsidRPr="007D790C">
        <w:rPr>
          <w:rFonts w:ascii="Arial" w:eastAsia="Times New Roman" w:hAnsi="Arial" w:cs="Arial"/>
          <w:color w:val="2F2F2F"/>
          <w:sz w:val="18"/>
          <w:szCs w:val="18"/>
          <w:lang w:eastAsia="es-MX"/>
        </w:rPr>
        <w:t>Dicha adscripción surtirá efectos a partir del </w:t>
      </w:r>
      <w:r w:rsidRPr="007D790C">
        <w:rPr>
          <w:rFonts w:ascii="Arial" w:eastAsia="Times New Roman" w:hAnsi="Arial" w:cs="Arial"/>
          <w:b/>
          <w:bCs/>
          <w:color w:val="2F2F2F"/>
          <w:sz w:val="18"/>
          <w:szCs w:val="18"/>
          <w:lang w:eastAsia="es-MX"/>
        </w:rPr>
        <w:t>15 de enero de 2024</w:t>
      </w:r>
      <w:r w:rsidRPr="007D790C">
        <w:rPr>
          <w:rFonts w:ascii="Arial" w:eastAsia="Times New Roman" w:hAnsi="Arial" w:cs="Arial"/>
          <w:color w:val="2F2F2F"/>
          <w:sz w:val="18"/>
          <w:szCs w:val="18"/>
          <w:lang w:eastAsia="es-MX"/>
        </w:rPr>
        <w:t>, y hasta en tanto la Junta de Gobierno y Administración determine otra situación.</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Tercero. </w:t>
      </w:r>
      <w:r w:rsidRPr="007D790C">
        <w:rPr>
          <w:rFonts w:ascii="Arial" w:eastAsia="Times New Roman" w:hAnsi="Arial" w:cs="Arial"/>
          <w:color w:val="2F2F2F"/>
          <w:sz w:val="18"/>
          <w:szCs w:val="18"/>
          <w:lang w:eastAsia="es-MX"/>
        </w:rPr>
        <w:t>El Magistrado Mario de la Huerta Portillo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Cuarto. </w:t>
      </w:r>
      <w:r w:rsidRPr="007D790C">
        <w:rPr>
          <w:rFonts w:ascii="Arial" w:eastAsia="Times New Roman" w:hAnsi="Arial" w:cs="Arial"/>
          <w:color w:val="2F2F2F"/>
          <w:sz w:val="18"/>
          <w:szCs w:val="18"/>
          <w:lang w:eastAsia="es-MX"/>
        </w:rPr>
        <w:t>El Licenciado Víctor Alfonso Lomelí Serrano</w:t>
      </w:r>
      <w:r w:rsidRPr="007D790C">
        <w:rPr>
          <w:rFonts w:ascii="Arial" w:eastAsia="Times New Roman" w:hAnsi="Arial" w:cs="Arial"/>
          <w:color w:val="000000"/>
          <w:sz w:val="18"/>
          <w:szCs w:val="18"/>
          <w:lang w:eastAsia="es-MX"/>
        </w:rPr>
        <w:t>, </w:t>
      </w:r>
      <w:r w:rsidRPr="007D790C">
        <w:rPr>
          <w:rFonts w:ascii="Arial" w:eastAsia="Times New Roman" w:hAnsi="Arial" w:cs="Arial"/>
          <w:color w:val="2F2F2F"/>
          <w:sz w:val="18"/>
          <w:szCs w:val="18"/>
          <w:lang w:eastAsia="es-MX"/>
        </w:rPr>
        <w:t>deberá entregar la Ponencia de su actual adscripción, conforme a lo señalado en el artículo 141 del Reglamento Interior vigente de este Tribunal.</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Quinto. </w:t>
      </w:r>
      <w:r w:rsidRPr="007D790C">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b/>
          <w:bCs/>
          <w:color w:val="2F2F2F"/>
          <w:sz w:val="18"/>
          <w:szCs w:val="18"/>
          <w:lang w:eastAsia="es-MX"/>
        </w:rPr>
        <w:t>Sexto. </w:t>
      </w:r>
      <w:r w:rsidRPr="007D790C">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7D790C" w:rsidRPr="007D790C" w:rsidRDefault="007D790C" w:rsidP="007D790C">
      <w:pPr>
        <w:shd w:val="clear" w:color="auto" w:fill="FFFFFF"/>
        <w:spacing w:after="101" w:line="240" w:lineRule="auto"/>
        <w:ind w:firstLine="288"/>
        <w:jc w:val="both"/>
        <w:rPr>
          <w:rFonts w:ascii="Arial" w:eastAsia="Times New Roman" w:hAnsi="Arial" w:cs="Arial"/>
          <w:color w:val="2F2F2F"/>
          <w:sz w:val="18"/>
          <w:szCs w:val="18"/>
          <w:lang w:eastAsia="es-MX"/>
        </w:rPr>
      </w:pPr>
      <w:r w:rsidRPr="007D790C">
        <w:rPr>
          <w:rFonts w:ascii="Arial" w:eastAsia="Times New Roman" w:hAnsi="Arial" w:cs="Arial"/>
          <w:color w:val="2F2F2F"/>
          <w:sz w:val="18"/>
          <w:szCs w:val="18"/>
          <w:lang w:eastAsia="es-MX"/>
        </w:rPr>
        <w:t>Dictado en sesión ordinaria presencial de fecha 08 de enero de 2024, por unanimidad de cuatro votos a favor.- Firman el Magistrado</w:t>
      </w:r>
      <w:r w:rsidRPr="007D790C">
        <w:rPr>
          <w:rFonts w:ascii="Arial" w:eastAsia="Times New Roman" w:hAnsi="Arial" w:cs="Arial"/>
          <w:b/>
          <w:bCs/>
          <w:color w:val="2F2F2F"/>
          <w:sz w:val="18"/>
          <w:szCs w:val="18"/>
          <w:lang w:eastAsia="es-MX"/>
        </w:rPr>
        <w:t xml:space="preserve"> Guillermo Valls </w:t>
      </w:r>
      <w:proofErr w:type="spellStart"/>
      <w:r w:rsidRPr="007D790C">
        <w:rPr>
          <w:rFonts w:ascii="Arial" w:eastAsia="Times New Roman" w:hAnsi="Arial" w:cs="Arial"/>
          <w:b/>
          <w:bCs/>
          <w:color w:val="2F2F2F"/>
          <w:sz w:val="18"/>
          <w:szCs w:val="18"/>
          <w:lang w:eastAsia="es-MX"/>
        </w:rPr>
        <w:t>Esponda</w:t>
      </w:r>
      <w:proofErr w:type="spellEnd"/>
      <w:r w:rsidRPr="007D790C">
        <w:rPr>
          <w:rFonts w:ascii="Arial" w:eastAsia="Times New Roman" w:hAnsi="Arial" w:cs="Arial"/>
          <w:color w:val="2F2F2F"/>
          <w:sz w:val="18"/>
          <w:szCs w:val="18"/>
          <w:lang w:eastAsia="es-MX"/>
        </w:rPr>
        <w:t>, Presidente de la Junta de Gobierno y Administración del Tribunal Federal de Justicia Administrativa, y la Licenciada</w:t>
      </w:r>
      <w:r w:rsidRPr="007D790C">
        <w:rPr>
          <w:rFonts w:ascii="Arial" w:eastAsia="Times New Roman" w:hAnsi="Arial" w:cs="Arial"/>
          <w:b/>
          <w:bCs/>
          <w:color w:val="2F2F2F"/>
          <w:sz w:val="18"/>
          <w:szCs w:val="18"/>
          <w:lang w:eastAsia="es-MX"/>
        </w:rPr>
        <w:t> Fátima González Tello</w:t>
      </w:r>
      <w:r w:rsidRPr="007D790C">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7D790C" w:rsidRPr="007D790C" w:rsidRDefault="007D790C" w:rsidP="007D790C">
      <w:pPr>
        <w:jc w:val="both"/>
        <w:rPr>
          <w:lang w:val="es-ES"/>
        </w:rPr>
      </w:pPr>
    </w:p>
    <w:sectPr w:rsidR="007D790C" w:rsidRPr="007D79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C"/>
    <w:rsid w:val="007D790C"/>
    <w:rsid w:val="00FA6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98112">
      <w:bodyDiv w:val="1"/>
      <w:marLeft w:val="0"/>
      <w:marRight w:val="0"/>
      <w:marTop w:val="0"/>
      <w:marBottom w:val="0"/>
      <w:divBdr>
        <w:top w:val="none" w:sz="0" w:space="0" w:color="auto"/>
        <w:left w:val="none" w:sz="0" w:space="0" w:color="auto"/>
        <w:bottom w:val="none" w:sz="0" w:space="0" w:color="auto"/>
        <w:right w:val="none" w:sz="0" w:space="0" w:color="auto"/>
      </w:divBdr>
      <w:divsChild>
        <w:div w:id="1949847197">
          <w:marLeft w:val="0"/>
          <w:marRight w:val="0"/>
          <w:marTop w:val="101"/>
          <w:marBottom w:val="101"/>
          <w:divBdr>
            <w:top w:val="none" w:sz="0" w:space="0" w:color="auto"/>
            <w:left w:val="none" w:sz="0" w:space="0" w:color="auto"/>
            <w:bottom w:val="none" w:sz="0" w:space="0" w:color="auto"/>
            <w:right w:val="none" w:sz="0" w:space="0" w:color="auto"/>
          </w:divBdr>
        </w:div>
        <w:div w:id="60372231">
          <w:marLeft w:val="0"/>
          <w:marRight w:val="0"/>
          <w:marTop w:val="0"/>
          <w:marBottom w:val="101"/>
          <w:divBdr>
            <w:top w:val="none" w:sz="0" w:space="0" w:color="auto"/>
            <w:left w:val="none" w:sz="0" w:space="0" w:color="auto"/>
            <w:bottom w:val="none" w:sz="0" w:space="0" w:color="auto"/>
            <w:right w:val="none" w:sz="0" w:space="0" w:color="auto"/>
          </w:divBdr>
        </w:div>
        <w:div w:id="1846170246">
          <w:marLeft w:val="0"/>
          <w:marRight w:val="0"/>
          <w:marTop w:val="101"/>
          <w:marBottom w:val="101"/>
          <w:divBdr>
            <w:top w:val="none" w:sz="0" w:space="0" w:color="auto"/>
            <w:left w:val="none" w:sz="0" w:space="0" w:color="auto"/>
            <w:bottom w:val="none" w:sz="0" w:space="0" w:color="auto"/>
            <w:right w:val="none" w:sz="0" w:space="0" w:color="auto"/>
          </w:divBdr>
        </w:div>
        <w:div w:id="128521391">
          <w:marLeft w:val="0"/>
          <w:marRight w:val="0"/>
          <w:marTop w:val="0"/>
          <w:marBottom w:val="101"/>
          <w:divBdr>
            <w:top w:val="none" w:sz="0" w:space="0" w:color="auto"/>
            <w:left w:val="none" w:sz="0" w:space="0" w:color="auto"/>
            <w:bottom w:val="none" w:sz="0" w:space="0" w:color="auto"/>
            <w:right w:val="none" w:sz="0" w:space="0" w:color="auto"/>
          </w:divBdr>
        </w:div>
        <w:div w:id="405492672">
          <w:marLeft w:val="0"/>
          <w:marRight w:val="0"/>
          <w:marTop w:val="0"/>
          <w:marBottom w:val="101"/>
          <w:divBdr>
            <w:top w:val="none" w:sz="0" w:space="0" w:color="auto"/>
            <w:left w:val="none" w:sz="0" w:space="0" w:color="auto"/>
            <w:bottom w:val="none" w:sz="0" w:space="0" w:color="auto"/>
            <w:right w:val="none" w:sz="0" w:space="0" w:color="auto"/>
          </w:divBdr>
        </w:div>
        <w:div w:id="211893034">
          <w:marLeft w:val="0"/>
          <w:marRight w:val="0"/>
          <w:marTop w:val="0"/>
          <w:marBottom w:val="101"/>
          <w:divBdr>
            <w:top w:val="none" w:sz="0" w:space="0" w:color="auto"/>
            <w:left w:val="none" w:sz="0" w:space="0" w:color="auto"/>
            <w:bottom w:val="none" w:sz="0" w:space="0" w:color="auto"/>
            <w:right w:val="none" w:sz="0" w:space="0" w:color="auto"/>
          </w:divBdr>
        </w:div>
        <w:div w:id="1225213939">
          <w:marLeft w:val="0"/>
          <w:marRight w:val="0"/>
          <w:marTop w:val="0"/>
          <w:marBottom w:val="101"/>
          <w:divBdr>
            <w:top w:val="none" w:sz="0" w:space="0" w:color="auto"/>
            <w:left w:val="none" w:sz="0" w:space="0" w:color="auto"/>
            <w:bottom w:val="none" w:sz="0" w:space="0" w:color="auto"/>
            <w:right w:val="none" w:sz="0" w:space="0" w:color="auto"/>
          </w:divBdr>
        </w:div>
        <w:div w:id="1129712650">
          <w:marLeft w:val="0"/>
          <w:marRight w:val="0"/>
          <w:marTop w:val="0"/>
          <w:marBottom w:val="101"/>
          <w:divBdr>
            <w:top w:val="none" w:sz="0" w:space="0" w:color="auto"/>
            <w:left w:val="none" w:sz="0" w:space="0" w:color="auto"/>
            <w:bottom w:val="none" w:sz="0" w:space="0" w:color="auto"/>
            <w:right w:val="none" w:sz="0" w:space="0" w:color="auto"/>
          </w:divBdr>
        </w:div>
        <w:div w:id="1547254811">
          <w:marLeft w:val="0"/>
          <w:marRight w:val="0"/>
          <w:marTop w:val="0"/>
          <w:marBottom w:val="101"/>
          <w:divBdr>
            <w:top w:val="none" w:sz="0" w:space="0" w:color="auto"/>
            <w:left w:val="none" w:sz="0" w:space="0" w:color="auto"/>
            <w:bottom w:val="none" w:sz="0" w:space="0" w:color="auto"/>
            <w:right w:val="none" w:sz="0" w:space="0" w:color="auto"/>
          </w:divBdr>
        </w:div>
        <w:div w:id="1830363747">
          <w:marLeft w:val="0"/>
          <w:marRight w:val="0"/>
          <w:marTop w:val="0"/>
          <w:marBottom w:val="101"/>
          <w:divBdr>
            <w:top w:val="none" w:sz="0" w:space="0" w:color="auto"/>
            <w:left w:val="none" w:sz="0" w:space="0" w:color="auto"/>
            <w:bottom w:val="none" w:sz="0" w:space="0" w:color="auto"/>
            <w:right w:val="none" w:sz="0" w:space="0" w:color="auto"/>
          </w:divBdr>
        </w:div>
        <w:div w:id="827329691">
          <w:marLeft w:val="0"/>
          <w:marRight w:val="0"/>
          <w:marTop w:val="0"/>
          <w:marBottom w:val="101"/>
          <w:divBdr>
            <w:top w:val="none" w:sz="0" w:space="0" w:color="auto"/>
            <w:left w:val="none" w:sz="0" w:space="0" w:color="auto"/>
            <w:bottom w:val="none" w:sz="0" w:space="0" w:color="auto"/>
            <w:right w:val="none" w:sz="0" w:space="0" w:color="auto"/>
          </w:divBdr>
        </w:div>
        <w:div w:id="432482348">
          <w:marLeft w:val="0"/>
          <w:marRight w:val="0"/>
          <w:marTop w:val="0"/>
          <w:marBottom w:val="101"/>
          <w:divBdr>
            <w:top w:val="none" w:sz="0" w:space="0" w:color="auto"/>
            <w:left w:val="none" w:sz="0" w:space="0" w:color="auto"/>
            <w:bottom w:val="none" w:sz="0" w:space="0" w:color="auto"/>
            <w:right w:val="none" w:sz="0" w:space="0" w:color="auto"/>
          </w:divBdr>
        </w:div>
        <w:div w:id="986978006">
          <w:marLeft w:val="0"/>
          <w:marRight w:val="0"/>
          <w:marTop w:val="0"/>
          <w:marBottom w:val="101"/>
          <w:divBdr>
            <w:top w:val="none" w:sz="0" w:space="0" w:color="auto"/>
            <w:left w:val="none" w:sz="0" w:space="0" w:color="auto"/>
            <w:bottom w:val="none" w:sz="0" w:space="0" w:color="auto"/>
            <w:right w:val="none" w:sz="0" w:space="0" w:color="auto"/>
          </w:divBdr>
        </w:div>
        <w:div w:id="355230725">
          <w:marLeft w:val="0"/>
          <w:marRight w:val="0"/>
          <w:marTop w:val="101"/>
          <w:marBottom w:val="101"/>
          <w:divBdr>
            <w:top w:val="none" w:sz="0" w:space="0" w:color="auto"/>
            <w:left w:val="none" w:sz="0" w:space="0" w:color="auto"/>
            <w:bottom w:val="none" w:sz="0" w:space="0" w:color="auto"/>
            <w:right w:val="none" w:sz="0" w:space="0" w:color="auto"/>
          </w:divBdr>
        </w:div>
        <w:div w:id="804128073">
          <w:marLeft w:val="0"/>
          <w:marRight w:val="0"/>
          <w:marTop w:val="0"/>
          <w:marBottom w:val="101"/>
          <w:divBdr>
            <w:top w:val="none" w:sz="0" w:space="0" w:color="auto"/>
            <w:left w:val="none" w:sz="0" w:space="0" w:color="auto"/>
            <w:bottom w:val="none" w:sz="0" w:space="0" w:color="auto"/>
            <w:right w:val="none" w:sz="0" w:space="0" w:color="auto"/>
          </w:divBdr>
        </w:div>
        <w:div w:id="1313484579">
          <w:marLeft w:val="0"/>
          <w:marRight w:val="0"/>
          <w:marTop w:val="0"/>
          <w:marBottom w:val="101"/>
          <w:divBdr>
            <w:top w:val="none" w:sz="0" w:space="0" w:color="auto"/>
            <w:left w:val="none" w:sz="0" w:space="0" w:color="auto"/>
            <w:bottom w:val="none" w:sz="0" w:space="0" w:color="auto"/>
            <w:right w:val="none" w:sz="0" w:space="0" w:color="auto"/>
          </w:divBdr>
        </w:div>
        <w:div w:id="2042171114">
          <w:marLeft w:val="0"/>
          <w:marRight w:val="0"/>
          <w:marTop w:val="0"/>
          <w:marBottom w:val="101"/>
          <w:divBdr>
            <w:top w:val="none" w:sz="0" w:space="0" w:color="auto"/>
            <w:left w:val="none" w:sz="0" w:space="0" w:color="auto"/>
            <w:bottom w:val="none" w:sz="0" w:space="0" w:color="auto"/>
            <w:right w:val="none" w:sz="0" w:space="0" w:color="auto"/>
          </w:divBdr>
        </w:div>
        <w:div w:id="691608163">
          <w:marLeft w:val="0"/>
          <w:marRight w:val="0"/>
          <w:marTop w:val="0"/>
          <w:marBottom w:val="101"/>
          <w:divBdr>
            <w:top w:val="none" w:sz="0" w:space="0" w:color="auto"/>
            <w:left w:val="none" w:sz="0" w:space="0" w:color="auto"/>
            <w:bottom w:val="none" w:sz="0" w:space="0" w:color="auto"/>
            <w:right w:val="none" w:sz="0" w:space="0" w:color="auto"/>
          </w:divBdr>
        </w:div>
        <w:div w:id="1202940260">
          <w:marLeft w:val="0"/>
          <w:marRight w:val="0"/>
          <w:marTop w:val="0"/>
          <w:marBottom w:val="101"/>
          <w:divBdr>
            <w:top w:val="none" w:sz="0" w:space="0" w:color="auto"/>
            <w:left w:val="none" w:sz="0" w:space="0" w:color="auto"/>
            <w:bottom w:val="none" w:sz="0" w:space="0" w:color="auto"/>
            <w:right w:val="none" w:sz="0" w:space="0" w:color="auto"/>
          </w:divBdr>
        </w:div>
        <w:div w:id="1382635105">
          <w:marLeft w:val="0"/>
          <w:marRight w:val="0"/>
          <w:marTop w:val="0"/>
          <w:marBottom w:val="101"/>
          <w:divBdr>
            <w:top w:val="none" w:sz="0" w:space="0" w:color="auto"/>
            <w:left w:val="none" w:sz="0" w:space="0" w:color="auto"/>
            <w:bottom w:val="none" w:sz="0" w:space="0" w:color="auto"/>
            <w:right w:val="none" w:sz="0" w:space="0" w:color="auto"/>
          </w:divBdr>
        </w:div>
        <w:div w:id="20392383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5750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2024-01-15T14:25:00Z</dcterms:created>
  <dcterms:modified xsi:type="dcterms:W3CDTF">2024-01-15T14:26:00Z</dcterms:modified>
</cp:coreProperties>
</file>