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28C" w:rsidRPr="0060228C" w:rsidRDefault="0060228C" w:rsidP="0060228C">
      <w:pPr>
        <w:pStyle w:val="Titulo1"/>
        <w:jc w:val="center"/>
        <w:rPr>
          <w:rFonts w:ascii="Verdana" w:hAnsi="Verdana" w:cs="Times New Roman"/>
          <w:color w:val="4472C4" w:themeColor="accent1"/>
          <w:sz w:val="28"/>
          <w:szCs w:val="28"/>
        </w:rPr>
      </w:pPr>
      <w:r w:rsidRPr="0060228C">
        <w:rPr>
          <w:rFonts w:ascii="Verdana" w:hAnsi="Verdana" w:cs="Times New Roman"/>
          <w:color w:val="4472C4" w:themeColor="accent1"/>
          <w:sz w:val="28"/>
          <w:szCs w:val="28"/>
        </w:rPr>
        <w:t>Diario Oficial de la Federación del 30 de diciembre de 2019</w:t>
      </w:r>
    </w:p>
    <w:p w:rsidR="0060228C" w:rsidRDefault="0060228C" w:rsidP="0060228C">
      <w:pPr>
        <w:pStyle w:val="Titulo1"/>
        <w:rPr>
          <w:rFonts w:ascii="Verdana" w:hAnsi="Verdana" w:cs="Times New Roman"/>
          <w:sz w:val="24"/>
          <w:szCs w:val="24"/>
        </w:rPr>
      </w:pPr>
    </w:p>
    <w:p w:rsidR="0060228C" w:rsidRPr="0060228C" w:rsidRDefault="0060228C" w:rsidP="0060228C">
      <w:pPr>
        <w:pStyle w:val="Titulo1"/>
        <w:rPr>
          <w:rFonts w:ascii="Verdana" w:hAnsi="Verdana" w:cs="Times New Roman"/>
          <w:sz w:val="24"/>
          <w:szCs w:val="24"/>
        </w:rPr>
      </w:pPr>
      <w:bookmarkStart w:id="0" w:name="_GoBack"/>
      <w:r w:rsidRPr="0060228C">
        <w:rPr>
          <w:rFonts w:ascii="Verdana" w:hAnsi="Verdana" w:cs="Times New Roman"/>
          <w:sz w:val="24"/>
          <w:szCs w:val="24"/>
        </w:rPr>
        <w:t>ACUERDO por el que se da a conocer el factor de actualización a los ingresos totales anuales de una Sociedad por Acciones Simplificada conforme a lo dispuesto en el artículo 260 de la Ley General de Sociedades Mercantiles</w:t>
      </w:r>
      <w:bookmarkEnd w:id="0"/>
      <w:r w:rsidRPr="0060228C">
        <w:rPr>
          <w:rFonts w:ascii="Verdana" w:hAnsi="Verdana" w:cs="Times New Roman"/>
          <w:sz w:val="24"/>
          <w:szCs w:val="24"/>
        </w:rPr>
        <w:t>.</w:t>
      </w:r>
    </w:p>
    <w:p w:rsidR="0060228C" w:rsidRPr="0060228C" w:rsidRDefault="0060228C" w:rsidP="0060228C">
      <w:pPr>
        <w:pStyle w:val="Titulo2"/>
        <w:rPr>
          <w:rFonts w:ascii="Verdana" w:hAnsi="Verdana"/>
          <w:sz w:val="24"/>
          <w:szCs w:val="24"/>
        </w:rPr>
      </w:pPr>
      <w:r w:rsidRPr="0060228C">
        <w:rPr>
          <w:rFonts w:ascii="Verdana" w:hAnsi="Verdana"/>
          <w:sz w:val="24"/>
          <w:szCs w:val="24"/>
        </w:rPr>
        <w:t xml:space="preserve">Al margen un sello con el Escudo Nacional, que dice: Estados Unidos </w:t>
      </w:r>
      <w:proofErr w:type="gramStart"/>
      <w:r w:rsidRPr="0060228C">
        <w:rPr>
          <w:rFonts w:ascii="Verdana" w:hAnsi="Verdana"/>
          <w:sz w:val="24"/>
          <w:szCs w:val="24"/>
        </w:rPr>
        <w:t>Mexicanos.-</w:t>
      </w:r>
      <w:proofErr w:type="gramEnd"/>
      <w:r w:rsidRPr="0060228C">
        <w:rPr>
          <w:rFonts w:ascii="Verdana" w:hAnsi="Verdana"/>
          <w:sz w:val="24"/>
          <w:szCs w:val="24"/>
        </w:rPr>
        <w:t xml:space="preserve"> ECONOMÍA.- Secretaría de Economía.</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Con fundamento en los artículos 34 fracción XXXIII de la Ley Orgánica de la Administración Pública Federal; 260 de la Ley General de Sociedades Mercantiles, 4 de la Ley Federal de Procedimiento Administrativo; 5 fracción XVII del Reglamento Interior de la Secretaría de Economía, y</w:t>
      </w:r>
    </w:p>
    <w:p w:rsidR="0060228C" w:rsidRPr="0060228C" w:rsidRDefault="0060228C" w:rsidP="0060228C">
      <w:pPr>
        <w:pStyle w:val="ANOTACION"/>
        <w:spacing w:line="233" w:lineRule="exact"/>
        <w:rPr>
          <w:rFonts w:ascii="Verdana" w:hAnsi="Verdana"/>
          <w:sz w:val="24"/>
          <w:szCs w:val="24"/>
        </w:rPr>
      </w:pPr>
      <w:r w:rsidRPr="0060228C">
        <w:rPr>
          <w:rFonts w:ascii="Verdana" w:hAnsi="Verdana"/>
          <w:sz w:val="24"/>
          <w:szCs w:val="24"/>
        </w:rPr>
        <w:t>CONSIDERANDO</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mediante Decreto publicado en el Diario Oficial de la Federación el 14 de marzo de 2016, se reformó la Ley General de Sociedades Mercantiles, por la que se estableció la figura de la Sociedad por Acciones Simplificada, con el propósito de facilitar los trámites para la constitución de una empresa.</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el artículo 260 de la propia Ley General de Sociedades Mercantiles establece que los ingresos totales anuales de este tipo de sociedades no podrán ser mayores a 5 millones de pesos; sin embargo, prevé que dicho monto será actualizado de manera anual el primero de enero de cada año.</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la actualización se realizará considerando el factor de actualización correspondiente al periodo comprendido desde el mes de diciembre del penúltimo año hasta el mes de diciembre inmediato anterior a aquel por el que se efectúa la actualización.</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la Secretaría de Economía publicará el factor de actualización en el Diario Oficial de la Federación durante el mes de diciembre de cada año.</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conforme a lo dispuesto en el artículo 17-A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el 10 de diciembre de 2018 fue publicado en el Diario Oficial de la Federación el Índice Nacional de Precios al Consumidor del mes de noviembre de 2018, mismo que es de 102.303</w:t>
      </w:r>
      <w:r w:rsidRPr="0060228C">
        <w:rPr>
          <w:rFonts w:ascii="Verdana" w:hAnsi="Verdana"/>
          <w:b/>
          <w:sz w:val="24"/>
          <w:szCs w:val="24"/>
        </w:rPr>
        <w:t xml:space="preserve"> </w:t>
      </w:r>
      <w:r w:rsidRPr="0060228C">
        <w:rPr>
          <w:rFonts w:ascii="Verdana" w:hAnsi="Verdana"/>
          <w:sz w:val="24"/>
          <w:szCs w:val="24"/>
        </w:rPr>
        <w:t>puntos.</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el 10 de diciembre de 2019 fue publicado en el Diario Oficial de la Federación el Índice Nacional de Precios al Consumidor del mes de noviembre de 2019, mismo que es de 105.346</w:t>
      </w:r>
      <w:r w:rsidRPr="0060228C">
        <w:rPr>
          <w:rFonts w:ascii="Verdana" w:hAnsi="Verdana"/>
          <w:b/>
          <w:sz w:val="24"/>
          <w:szCs w:val="24"/>
        </w:rPr>
        <w:t xml:space="preserve"> </w:t>
      </w:r>
      <w:r w:rsidRPr="0060228C">
        <w:rPr>
          <w:rFonts w:ascii="Verdana" w:hAnsi="Verdana"/>
          <w:sz w:val="24"/>
          <w:szCs w:val="24"/>
        </w:rPr>
        <w:t>puntos.</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lastRenderedPageBreak/>
        <w:t>Que el resultado de la operación a que se refiere el primer párrafo del artículo 17-A del Código Fiscal de la Federación fue de 1.0297  por lo que corresponde aplicar el factor de actualización señalado al monto que se establece en el acuerdo por el que se da a conocer el factor de actualización a los ingresos totales anuales de una sociedad por acciones simplificada conforme a lo dispuesto en el artículo 260 de la Ley General de Sociedades Mercantiles publicado el 31 de diciembre de 2018 en el Diario Oficial de la Federación.</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Que con el propósito de dar a conocer el monto actualizado a que se refiere el primer considerando y brindar certeza jurídica a los particulares respecto del límite de ingresos anuales que podrán tener las sociedades por acciones simplificadas, es necesario dar a conocer el factor de actualización correspondiente, por lo que se expide el siguiente:</w:t>
      </w:r>
    </w:p>
    <w:p w:rsidR="0060228C" w:rsidRPr="0060228C" w:rsidRDefault="0060228C" w:rsidP="0060228C">
      <w:pPr>
        <w:pStyle w:val="ANOTACION"/>
        <w:spacing w:line="233" w:lineRule="exact"/>
        <w:rPr>
          <w:rFonts w:ascii="Verdana" w:hAnsi="Verdana"/>
          <w:sz w:val="24"/>
          <w:szCs w:val="24"/>
        </w:rPr>
      </w:pPr>
      <w:r w:rsidRPr="0060228C">
        <w:rPr>
          <w:rFonts w:ascii="Verdana" w:hAnsi="Verdana"/>
          <w:sz w:val="24"/>
          <w:szCs w:val="24"/>
        </w:rPr>
        <w:t>ACUERDO POR EL QUE SE DA A CONOCER EL FACTOR DE ACTUALIZACIÓN A LOS INGRESOS TOTALES ANUALES DE UNA SOCIEDAD POR ACCIONES SIMPLIFICADA CONFORME A LO DISPUESTO EN EL ARTÍCULO 260 DE LA LEY GENERAL DE SOCIEDADES MERCANTILES</w:t>
      </w:r>
    </w:p>
    <w:p w:rsidR="0060228C" w:rsidRPr="0060228C" w:rsidRDefault="0060228C" w:rsidP="0060228C">
      <w:pPr>
        <w:pStyle w:val="texto"/>
        <w:spacing w:line="233" w:lineRule="exact"/>
        <w:rPr>
          <w:rFonts w:ascii="Verdana" w:hAnsi="Verdana"/>
          <w:sz w:val="24"/>
          <w:szCs w:val="24"/>
        </w:rPr>
      </w:pPr>
      <w:proofErr w:type="gramStart"/>
      <w:r w:rsidRPr="0060228C">
        <w:rPr>
          <w:rFonts w:ascii="Verdana" w:hAnsi="Verdana"/>
          <w:b/>
          <w:sz w:val="24"/>
          <w:szCs w:val="24"/>
        </w:rPr>
        <w:t>PRIMERO.-</w:t>
      </w:r>
      <w:proofErr w:type="gramEnd"/>
      <w:r w:rsidRPr="0060228C">
        <w:rPr>
          <w:rFonts w:ascii="Verdana" w:hAnsi="Verdana"/>
          <w:b/>
          <w:sz w:val="24"/>
          <w:szCs w:val="24"/>
        </w:rPr>
        <w:t xml:space="preserve"> </w:t>
      </w:r>
      <w:r w:rsidRPr="0060228C">
        <w:rPr>
          <w:rFonts w:ascii="Verdana" w:hAnsi="Verdana"/>
          <w:sz w:val="24"/>
          <w:szCs w:val="24"/>
        </w:rPr>
        <w:t>El</w:t>
      </w:r>
      <w:r w:rsidRPr="0060228C">
        <w:rPr>
          <w:rFonts w:ascii="Verdana" w:hAnsi="Verdana"/>
          <w:b/>
          <w:sz w:val="24"/>
          <w:szCs w:val="24"/>
        </w:rPr>
        <w:t xml:space="preserve"> </w:t>
      </w:r>
      <w:r w:rsidRPr="0060228C">
        <w:rPr>
          <w:rFonts w:ascii="Verdana" w:hAnsi="Verdana"/>
          <w:sz w:val="24"/>
          <w:szCs w:val="24"/>
        </w:rPr>
        <w:t>factor de actualización a los ingresos totales anuales de una sociedad por acciones simplificada corresponde a 1.0297.</w:t>
      </w:r>
    </w:p>
    <w:p w:rsidR="0060228C" w:rsidRPr="0060228C" w:rsidRDefault="0060228C" w:rsidP="0060228C">
      <w:pPr>
        <w:pStyle w:val="texto"/>
        <w:spacing w:line="233" w:lineRule="exact"/>
        <w:rPr>
          <w:rFonts w:ascii="Verdana" w:hAnsi="Verdana"/>
          <w:b/>
          <w:sz w:val="24"/>
          <w:szCs w:val="24"/>
        </w:rPr>
      </w:pPr>
      <w:proofErr w:type="gramStart"/>
      <w:r w:rsidRPr="0060228C">
        <w:rPr>
          <w:rFonts w:ascii="Verdana" w:hAnsi="Verdana"/>
          <w:b/>
          <w:sz w:val="24"/>
          <w:szCs w:val="24"/>
        </w:rPr>
        <w:t>SEGUNDO.-</w:t>
      </w:r>
      <w:proofErr w:type="gramEnd"/>
      <w:r w:rsidRPr="0060228C">
        <w:rPr>
          <w:rFonts w:ascii="Verdana" w:hAnsi="Verdana"/>
          <w:b/>
          <w:sz w:val="24"/>
          <w:szCs w:val="24"/>
        </w:rPr>
        <w:t xml:space="preserve"> </w:t>
      </w:r>
      <w:r w:rsidRPr="0060228C">
        <w:rPr>
          <w:rFonts w:ascii="Verdana" w:hAnsi="Verdana"/>
          <w:sz w:val="24"/>
          <w:szCs w:val="24"/>
        </w:rPr>
        <w:t>Para efectos de lo dispuesto en el segundo párrafo del artículo 260 de la Ley General de Sociedades Mercantiles, los ingresos totales anuales de una sociedad por acciones simplificada no podrán rebasar de $ 5,671,800.02 (Cinco millones seiscientos setenta y un mil ochocientos pesos 02/100 M.N.).</w:t>
      </w:r>
    </w:p>
    <w:p w:rsidR="0060228C" w:rsidRPr="0060228C" w:rsidRDefault="0060228C" w:rsidP="0060228C">
      <w:pPr>
        <w:pStyle w:val="ANOTACION"/>
        <w:spacing w:line="233" w:lineRule="exact"/>
        <w:rPr>
          <w:rFonts w:ascii="Verdana" w:hAnsi="Verdana"/>
          <w:sz w:val="24"/>
          <w:szCs w:val="24"/>
        </w:rPr>
      </w:pPr>
      <w:r w:rsidRPr="0060228C">
        <w:rPr>
          <w:rFonts w:ascii="Verdana" w:hAnsi="Verdana"/>
          <w:sz w:val="24"/>
          <w:szCs w:val="24"/>
        </w:rPr>
        <w:t>TRANSITORIO</w:t>
      </w:r>
    </w:p>
    <w:p w:rsidR="0060228C" w:rsidRPr="0060228C" w:rsidRDefault="0060228C" w:rsidP="0060228C">
      <w:pPr>
        <w:pStyle w:val="texto"/>
        <w:spacing w:line="233" w:lineRule="exact"/>
        <w:rPr>
          <w:rFonts w:ascii="Verdana" w:hAnsi="Verdana"/>
          <w:sz w:val="24"/>
          <w:szCs w:val="24"/>
        </w:rPr>
      </w:pPr>
      <w:proofErr w:type="gramStart"/>
      <w:r w:rsidRPr="0060228C">
        <w:rPr>
          <w:rFonts w:ascii="Verdana" w:hAnsi="Verdana"/>
          <w:b/>
          <w:sz w:val="24"/>
          <w:szCs w:val="24"/>
        </w:rPr>
        <w:t>ÚNICO.-</w:t>
      </w:r>
      <w:proofErr w:type="gramEnd"/>
      <w:r w:rsidRPr="0060228C">
        <w:rPr>
          <w:rFonts w:ascii="Verdana" w:hAnsi="Verdana"/>
          <w:b/>
          <w:sz w:val="24"/>
          <w:szCs w:val="24"/>
        </w:rPr>
        <w:t xml:space="preserve"> </w:t>
      </w:r>
      <w:r w:rsidRPr="0060228C">
        <w:rPr>
          <w:rFonts w:ascii="Verdana" w:hAnsi="Verdana"/>
          <w:sz w:val="24"/>
          <w:szCs w:val="24"/>
        </w:rPr>
        <w:t>El presente Acuerdo entrará en vigor el 1 de enero de 2020.</w:t>
      </w:r>
    </w:p>
    <w:p w:rsidR="0060228C" w:rsidRPr="0060228C" w:rsidRDefault="0060228C" w:rsidP="0060228C">
      <w:pPr>
        <w:pStyle w:val="texto"/>
        <w:spacing w:line="233" w:lineRule="exact"/>
        <w:rPr>
          <w:rFonts w:ascii="Verdana" w:hAnsi="Verdana"/>
          <w:sz w:val="24"/>
          <w:szCs w:val="24"/>
        </w:rPr>
      </w:pPr>
      <w:r w:rsidRPr="0060228C">
        <w:rPr>
          <w:rFonts w:ascii="Verdana" w:hAnsi="Verdana"/>
          <w:sz w:val="24"/>
          <w:szCs w:val="24"/>
        </w:rPr>
        <w:t xml:space="preserve">Ciudad de México, a 23 de diciembre de 2019.- La Secretaria de Economía, </w:t>
      </w:r>
      <w:r w:rsidRPr="0060228C">
        <w:rPr>
          <w:rFonts w:ascii="Verdana" w:hAnsi="Verdana"/>
          <w:b/>
          <w:sz w:val="24"/>
          <w:szCs w:val="24"/>
        </w:rPr>
        <w:t xml:space="preserve">Graciela Márquez </w:t>
      </w:r>
      <w:proofErr w:type="gramStart"/>
      <w:r w:rsidRPr="0060228C">
        <w:rPr>
          <w:rFonts w:ascii="Verdana" w:hAnsi="Verdana"/>
          <w:b/>
          <w:sz w:val="24"/>
          <w:szCs w:val="24"/>
        </w:rPr>
        <w:t>Colín</w:t>
      </w:r>
      <w:r w:rsidRPr="0060228C">
        <w:rPr>
          <w:rFonts w:ascii="Verdana" w:hAnsi="Verdana"/>
          <w:sz w:val="24"/>
          <w:szCs w:val="24"/>
        </w:rPr>
        <w:t>.-</w:t>
      </w:r>
      <w:proofErr w:type="gramEnd"/>
      <w:r w:rsidRPr="0060228C">
        <w:rPr>
          <w:rFonts w:ascii="Verdana" w:hAnsi="Verdana"/>
          <w:sz w:val="24"/>
          <w:szCs w:val="24"/>
        </w:rPr>
        <w:t xml:space="preserve"> Rúbrica.</w:t>
      </w:r>
    </w:p>
    <w:p w:rsidR="0060228C" w:rsidRPr="0060228C" w:rsidRDefault="0060228C">
      <w:pPr>
        <w:rPr>
          <w:rFonts w:ascii="Verdana" w:hAnsi="Verdana"/>
          <w:sz w:val="24"/>
          <w:szCs w:val="24"/>
        </w:rPr>
      </w:pPr>
    </w:p>
    <w:sectPr w:rsidR="0060228C" w:rsidRPr="006022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8C"/>
    <w:rsid w:val="00602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1532"/>
  <w15:chartTrackingRefBased/>
  <w15:docId w15:val="{CFF9C48E-3D57-4769-8E93-DEE8D55D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NOTACION">
    <w:name w:val="ANOTACION"/>
    <w:basedOn w:val="Normal"/>
    <w:link w:val="ANOTACIONCar"/>
    <w:rsid w:val="0060228C"/>
    <w:pPr>
      <w:spacing w:before="101" w:after="101" w:line="216" w:lineRule="atLeast"/>
      <w:jc w:val="center"/>
    </w:pPr>
    <w:rPr>
      <w:rFonts w:ascii="Times New Roman" w:eastAsia="Times New Roman" w:hAnsi="Times New Roman" w:cs="Times New Roman"/>
      <w:b/>
      <w:sz w:val="18"/>
      <w:szCs w:val="20"/>
      <w:lang w:val="es-ES_tradnl" w:eastAsia="zh-CN"/>
    </w:rPr>
  </w:style>
  <w:style w:type="paragraph" w:customStyle="1" w:styleId="Titulo1">
    <w:name w:val="Titulo 1"/>
    <w:basedOn w:val="texto"/>
    <w:rsid w:val="0060228C"/>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60228C"/>
    <w:pPr>
      <w:pBdr>
        <w:top w:val="double" w:sz="6" w:space="1" w:color="auto"/>
      </w:pBdr>
      <w:snapToGrid/>
      <w:spacing w:line="240" w:lineRule="auto"/>
      <w:ind w:firstLine="0"/>
      <w:outlineLvl w:val="1"/>
    </w:pPr>
    <w:rPr>
      <w:szCs w:val="20"/>
    </w:rPr>
  </w:style>
  <w:style w:type="character" w:customStyle="1" w:styleId="ANOTACIONCar">
    <w:name w:val="ANOTACION Car"/>
    <w:link w:val="ANOTACION"/>
    <w:locked/>
    <w:rsid w:val="0060228C"/>
    <w:rPr>
      <w:rFonts w:ascii="Times New Roman" w:eastAsia="Times New Roman" w:hAnsi="Times New Roman" w:cs="Times New Roman"/>
      <w:b/>
      <w:sz w:val="18"/>
      <w:szCs w:val="20"/>
      <w:lang w:val="es-ES_tradnl" w:eastAsia="zh-CN"/>
    </w:rPr>
  </w:style>
  <w:style w:type="paragraph" w:customStyle="1" w:styleId="texto">
    <w:name w:val="texto"/>
    <w:basedOn w:val="Normal"/>
    <w:rsid w:val="0060228C"/>
    <w:pPr>
      <w:snapToGrid w:val="0"/>
      <w:spacing w:after="101" w:line="216" w:lineRule="exact"/>
      <w:ind w:firstLine="288"/>
      <w:jc w:val="both"/>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Rivera Romero</dc:creator>
  <cp:keywords/>
  <dc:description/>
  <cp:lastModifiedBy>Erika Rivera Romero</cp:lastModifiedBy>
  <cp:revision>1</cp:revision>
  <dcterms:created xsi:type="dcterms:W3CDTF">2019-12-30T16:03:00Z</dcterms:created>
  <dcterms:modified xsi:type="dcterms:W3CDTF">2019-12-30T16:04:00Z</dcterms:modified>
</cp:coreProperties>
</file>