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la Autoridad Investigadora de la Comisión Federal de Competencia Económica informa del inicio de la investigación por denuncia identificada con el número de expediente DE-050-2019 por la posible comisión de prácticas monopólicas relativas en el mercado de la evaluación de la conformidad de la bebida alcohólica denominada mezcal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Autoridad Investigadora.- Expediente No. DE-050-2019.</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LA AUTORIDAD INVESTIGADORA DE LA COMISIÓN FEDERAL DE COMPETENCIA ECONÓMICA INFORMA DEL INICIO DE LA INVESTIGACIÓN POR DENUNCIA IDENTIFICADA CON EL NÚMERO DE EXPEDIENTE DE-050-2019 POR LA POSIBLE COMISIÓN DE PRÁCTICAS MONOPÓLICAS RELATIVAS EN EL MERCADO DE "LA EVALUACIÓN DE LA CONFORMIDAD DE LA BEBIDA ALCOHÓLICA DENOMINADA MEZCAL".</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Inicio de la investigación por denuncia identificada con el número de expediente DE-050-2019, por la posible realización de conductas que podrían actualizar las prácticas monopólicas relativas previstas en los artículos 12 fracciones I y XXX, 28 fracciones II y XI, 52, 54, 56, fracción V, 58, 59, 66, 71 y 137 de la Ley Federal de Competencia Económica publicada en el Diario Oficial de la Federación (DOF) el veintitrés de mayo de dos mil catorce y que entró en vigor el siete de julio del mismo año (LFCE), disposición vigente al momento del inicio de la presente investigación, respecto de todas las posibles conductas que se pudieran acreditar en el mercado relevante que se determine dentro del mercado investigado de "la evaluación de la conformidad de la bebida alcohólica denominada mezcal", así como los diversos 1, 2, 5, 6, 7, 8, 54 y 55 de las Disposiciones Regulatorias de la Ley Federal de Competencia Económica, publicadas en el DOF el diez de noviembre del dos mil catorce (Disposiciones), cuya última modificación aplicable a la investigación al rubro citada es la publicada en el DOF el primero de agosto de dos mil diecinueve.</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la inteligencia de que los actos que puedan constituir violaciones a alguna de las leyes anteriormente citadas habrán de determinarse, en su caso, en el dictamen de probable responsabilidad a que se refieren los artículos 78, fracción I,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 ni se ha determinado aún el mercado relevante.</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LFCE, por lo que solo en caso de existir elementos suficientes para sustentar la actualización de contravenciones a la normatividad mencionada, se procederá en términos de los artículos 78, fracción I, 79 y 80 de la LFCE.</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términos del tercer párrafo del artículo 71 de la LFCE, el periodo de la investigación no será inferior a treinta días hábiles ni excederá de ciento veinte días hábiles, contados a partir de la fecha del presente acuerdo, mismo que podrá ser ampliado hasta por cuatro ocasiones de conformidad con lo dispuesto en el cuarto párrafo del artículo citado.</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 fracciones IX, X y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16, 17, fracción II, 26, fracción I y 29 del Estatuto Orgánico de la Comisión Federal de Competencia Económica publicado en el DOF el ocho de julio de dos mil catorce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así como para citar a declarar a quienes tengan relación con las investigaciones o asuntos de que se trate, utilizando en su caso, las medidas de apremio señaladas en la LFCE, y en general, para que se allegue de los medios de convicción que considere necesarios para conocer la verdad sobre los hechos materia del procedimiento y, ejerza las facultades que le otorga el Estatuto para realizar la presente investigación.</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el artículo 55 de las Disposiciones, se ordena enviar para su publicación en el sitio de Internet de la Comisión, así como en el DOF, dentro del primer periodo de investigación a que refiere el tercer párrafo del artículo 71 de la LFCE, el presente aviso, para efectos de que cualquier persona pueda coadyuvar en este procedimiento durante el periodo de investigación.</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cuatro de marzo de dos mil veinte.- Así lo acordó y firma el Titular de la Autoridad Investigadora de esta Comisión, </w:t>
      </w:r>
      <w:r w:rsidDel="00000000" w:rsidR="00000000" w:rsidRPr="00000000">
        <w:rPr>
          <w:rFonts w:ascii="Verdana" w:cs="Verdana" w:eastAsia="Verdana" w:hAnsi="Verdana"/>
          <w:b w:val="1"/>
          <w:color w:val="2f2f2f"/>
          <w:sz w:val="20"/>
          <w:szCs w:val="20"/>
          <w:rtl w:val="0"/>
        </w:rPr>
        <w:t xml:space="preserve">Sergio López Rodríguez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