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Baja California Sur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BAJA CALIFORNIA SUR, EN ADELANTE "EL GOBIERNO DEL ESTADO", REPRESENTADO POR EL SECRETARIO GENERAL DE GOBIERNO, C. LIC. ALVARO DE LA PEÑA ANGULO, EL TITULAR DE LA SECRETARÍA DEL TRABAJO DE LA ENTIDAD E INSTANCIA ESTATAL RESPONSABLE DEL PROYECTO, C. MTRO. TOMAS FRANK FLORES GAMEROS, EL SECRETARIO DE FINANZAS Y ADMINISTRACIÓN DEL ESTADO, C. LIC. ISIDRO JORDAN MOYRON, Y EL C. LIC. DANIEL GALLO RODRIGUEZ, REPRESENTANTE DEL PODER JUDICIAL DEL ESTADO DE BAJA CALIFORNIA SUR;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Derivado de la fracción anterior, el 29 de diciembre de 2020 se publicaron en el DOF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Que, del cumplimiento en tiempo y forma de los requisitos señalados en los Lineamientos, el Comité de Evaluación determinó aprobar los Proyectos presentados por el Estado de Baja California Sur, por lo que autorizó la cantidad de </w:t>
      </w:r>
      <w:r w:rsidDel="00000000" w:rsidR="00000000" w:rsidRPr="00000000">
        <w:rPr>
          <w:i w:val="1"/>
          <w:color w:val="2f2f2f"/>
          <w:sz w:val="18"/>
          <w:szCs w:val="18"/>
          <w:rtl w:val="0"/>
        </w:rPr>
        <w:t xml:space="preserve">$24,899,712.76 (Veinticuatro millones ochocientos noventa y nueve mil setecientos doce pesos 76/100 M.N.) </w:t>
      </w:r>
      <w:r w:rsidDel="00000000" w:rsidR="00000000" w:rsidRPr="00000000">
        <w:rPr>
          <w:color w:val="2f2f2f"/>
          <w:sz w:val="18"/>
          <w:szCs w:val="18"/>
          <w:rtl w:val="0"/>
        </w:rPr>
        <w:t xml:space="preserve">para la instalación de los Centros de Conciliación y Tribunales Laborales Locales.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Dicha situación se notificó a la Entidad Federativa mediante resolución del Comité de Evaluación el 24 de mayo de 2021</w:t>
      </w:r>
      <w:r w:rsidDel="00000000" w:rsidR="00000000" w:rsidRPr="00000000">
        <w:rPr>
          <w:color w:val="2f2f2f"/>
          <w:sz w:val="18"/>
          <w:szCs w:val="18"/>
          <w:u w:val="single"/>
          <w:rtl w:val="0"/>
        </w:rPr>
        <w:t xml:space="preserve">,</w:t>
      </w:r>
      <w:r w:rsidDel="00000000" w:rsidR="00000000" w:rsidRPr="00000000">
        <w:rPr>
          <w:color w:val="2f2f2f"/>
          <w:sz w:val="18"/>
          <w:szCs w:val="18"/>
          <w:rtl w:val="0"/>
        </w:rPr>
        <w:t xml:space="preserve">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18"/>
          <w:szCs w:val="18"/>
          <w:rtl w:val="0"/>
        </w:rPr>
        <w:t xml:space="preserve">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18"/>
          <w:szCs w:val="18"/>
          <w:rtl w:val="0"/>
        </w:rPr>
        <w:t xml:space="preserve"> 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18"/>
          <w:szCs w:val="18"/>
          <w:rtl w:val="0"/>
        </w:rPr>
        <w:t xml:space="preserve">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18"/>
          <w:szCs w:val="18"/>
          <w:rtl w:val="0"/>
        </w:rPr>
        <w:t xml:space="preserve"> 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en los artículos 1º, 40, 42 y 43 de la Constitución Política del Estado de Baja California Sur, es un Estado libre y soberano en todo lo concerniente a su régimen interior y forma parte integrante de la Federación.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General de Gobierno, el C. Lic. Álvaro De La Peña Angulo, con fundamento en los artículos 80, 81, 82 y 83 fracción V de la Constitución Política del Estado Libre y Soberano de Baja California Sur, artículos 16 fracción I 20 y 21 fracciones I, XIV, XVIII de la Ley Orgánica de la Administración Pública del Estado de Baja California Sur; y artículos 5, 6 y 7 del Reglamento Interior de la Secretaría General de Gobierno.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80, 81 y 82 de la Constitución Política del Estado Libre y Soberano de Baja California Sur; 22 de la Ley Orgánica de la Administración Pública del Estado de Baja California Sur; artículos 5 y 6 fracciones IV, XVII y XIX del Reglamento Interior de la Secretaría de Finanzas y Administración, el C. Lic. Isidro Jordán Moyron, en su carácter de Secretario de Finanzas y Administración del Estado de Baja California Sur, se encuentra facultado para suscribir el presente Convenio.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80, 81 Y 82 de la Constitución Política del Estado Libre y Soberano de Baja California Sur; 29, fracciones I, II, III, IV y XVIII de la Ley Orgánica de la Administración Pública del Estado de Baja California Sur; 4, 5 fracciones I, IV, XIX, y 6 fracciones I, XIV, XVII y LXXI del Reglamento Interior de la Secretaría de Trabajo, el C. Mtro. Tomas Frank Flores Gameros, en su carácter de Secretario de Trabajo y Desarrollo Social del Estado de Baja California Sur,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Callejón Dionisia Villarino #1345 esquina con Miguel Allende, Colonia Centro, C.P. 23006, La Paz, B.C.S.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El C. Lic. Daniel Gallo Rodríguez, representante del Poder Judicial del Estado de Baja California Sur cuenta con facultades para suscribir el presente instrumento jurídico en términos de lo dispuesto en los artículos 2, párrafo tercero, 19 párrafo segundo, 22 fracción II, y 115 fracción I de la Ley Orgánica del Poder Judicial del Estado de Baja California Sur.</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Convenio de Coordinación tiene por objeto el otorgamiento de los recursos autorizados al Estado de Baja California Sur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ASIGNACIÓN DE LOS RECURSOS. Para el cumplimiento del objeto señalado en la cláusula anterior, "LA SECRETARÍA" asignará la cantidad de $24,899,712.76 (Veinticuatro millones ochocientos noventa y nueve mil setecientos doce pesos 76/100 M.N.) correspondiente al recurso autorizado por el Comité de Evaluación, de los cuales $8,904,754.60 (Ocho millones novecientos cuatro mil setecientos cincuenta y cuatro pesos 60/100 M.N.) serán destinados para la creación de los Centros de Conciliación Locales; y $15,994,958.16 (Quince millones novecientos noventa y cuatro mil novecientos cincuenta y ocho 16/100 M.N.) para la creación de los Tribunales Laborales Locales.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del Trabajo y Desarrollo Social y del Poder Judicial del Estado, según corresponda.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35"/>
        <w:tblGridChange w:id="0">
          <w:tblGrid>
            <w:gridCol w:w="2355"/>
            <w:gridCol w:w="6435"/>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04001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Banco Mercantil del Norte, S.A. Institución de Banca Múltiple, Grupo Financiero Banorte.</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rPr>
                <w:b w:val="1"/>
                <w:sz w:val="18"/>
                <w:szCs w:val="18"/>
              </w:rPr>
            </w:pPr>
            <w:r w:rsidDel="00000000" w:rsidR="00000000" w:rsidRPr="00000000">
              <w:rPr>
                <w:b w:val="1"/>
                <w:sz w:val="18"/>
                <w:szCs w:val="18"/>
                <w:rtl w:val="0"/>
              </w:rPr>
              <w:t xml:space="preserve">Cuenta bancaria</w:t>
            </w:r>
          </w:p>
          <w:p w:rsidR="00000000" w:rsidDel="00000000" w:rsidP="00000000" w:rsidRDefault="00000000" w:rsidRPr="00000000" w14:paraId="0000003A">
            <w:pPr>
              <w:spacing w:after="100" w:lineRule="auto"/>
              <w:ind w:left="80" w:firstLine="0"/>
              <w:rPr>
                <w:b w:val="1"/>
                <w:sz w:val="18"/>
                <w:szCs w:val="18"/>
              </w:rPr>
            </w:pPr>
            <w:r w:rsidDel="00000000" w:rsidR="00000000" w:rsidRPr="00000000">
              <w:rPr>
                <w:b w:val="1"/>
                <w:sz w:val="18"/>
                <w:szCs w:val="18"/>
                <w:rtl w:val="0"/>
              </w:rPr>
              <w:t xml:space="preserve">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1103344026</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072 040 01103344026 1</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SFG9312205S3</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Isabel la Católica E I. Allende s/n Colonia Centro, C.P.23000, La Paz, B.C.S.</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Proyecto para la Implementación de la segunda etapa de la Reforma al Sistema de Justicia Laboral en el Estado de Baja California Sur"</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510"/>
        <w:tblGridChange w:id="0">
          <w:tblGrid>
            <w:gridCol w:w="2295"/>
            <w:gridCol w:w="6510"/>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4506</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Banco Santander México S. A.</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rPr>
                <w:b w:val="1"/>
                <w:sz w:val="18"/>
                <w:szCs w:val="18"/>
              </w:rPr>
            </w:pPr>
            <w:r w:rsidDel="00000000" w:rsidR="00000000" w:rsidRPr="00000000">
              <w:rPr>
                <w:b w:val="1"/>
                <w:sz w:val="18"/>
                <w:szCs w:val="18"/>
                <w:rtl w:val="0"/>
              </w:rPr>
              <w:t xml:space="preserve">Cuenta bancaria</w:t>
            </w:r>
          </w:p>
          <w:p w:rsidR="00000000" w:rsidDel="00000000" w:rsidP="00000000" w:rsidRDefault="00000000" w:rsidRPr="00000000" w14:paraId="0000004A">
            <w:pPr>
              <w:spacing w:after="100" w:lineRule="auto"/>
              <w:ind w:left="80" w:firstLine="0"/>
              <w:rPr>
                <w:b w:val="1"/>
                <w:sz w:val="18"/>
                <w:szCs w:val="18"/>
              </w:rPr>
            </w:pPr>
            <w:r w:rsidDel="00000000" w:rsidR="00000000" w:rsidRPr="00000000">
              <w:rPr>
                <w:b w:val="1"/>
                <w:sz w:val="18"/>
                <w:szCs w:val="18"/>
                <w:rtl w:val="0"/>
              </w:rPr>
              <w:t xml:space="preserve">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65508521476</w:t>
            </w:r>
          </w:p>
        </w:tc>
      </w:tr>
    </w:tbl>
    <w:p w:rsidR="00000000" w:rsidDel="00000000" w:rsidP="00000000" w:rsidRDefault="00000000" w:rsidRPr="00000000" w14:paraId="0000004C">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495"/>
        <w:tblGridChange w:id="0">
          <w:tblGrid>
            <w:gridCol w:w="2295"/>
            <w:gridCol w:w="6495"/>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sz w:val="18"/>
                <w:szCs w:val="18"/>
                <w:rtl w:val="0"/>
              </w:rPr>
              <w:t xml:space="preserve">014040655085214762</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CJE161231378</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rtl w:val="0"/>
              </w:rPr>
              <w:t xml:space="preserve">Boulevard Agustín Olachea Avilés, sin número entre Boulevard Luis Donaldo Colosio y calle Chechen, Colonia Las Garzas, Código postal 23070, La Paz, Baja California Sur.</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rPr>
                <w:b w:val="1"/>
                <w:sz w:val="18"/>
                <w:szCs w:val="18"/>
              </w:rPr>
            </w:pPr>
            <w:r w:rsidDel="00000000" w:rsidR="00000000" w:rsidRPr="00000000">
              <w:rPr>
                <w:b w:val="1"/>
                <w:sz w:val="18"/>
                <w:szCs w:val="18"/>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i w:val="1"/>
                <w:sz w:val="18"/>
                <w:szCs w:val="18"/>
              </w:rPr>
            </w:pPr>
            <w:r w:rsidDel="00000000" w:rsidR="00000000" w:rsidRPr="00000000">
              <w:rPr>
                <w:i w:val="1"/>
                <w:sz w:val="18"/>
                <w:szCs w:val="18"/>
                <w:rtl w:val="0"/>
              </w:rPr>
              <w:t xml:space="preserve">"Proyecto para la creación de Tribunales Laborales en el Estado de Baja California Sur"</w:t>
            </w:r>
          </w:p>
        </w:tc>
      </w:tr>
    </w:tbl>
    <w:p w:rsidR="00000000" w:rsidDel="00000000" w:rsidP="00000000" w:rsidRDefault="00000000" w:rsidRPr="00000000" w14:paraId="00000055">
      <w:pPr>
        <w:shd w:fill="ffffff" w:val="clear"/>
        <w:spacing w:after="100" w:before="4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o su homóloga, a "LA SECRETARÍA" la solicitud de transferencia de recursos con los requisitos señalados en el numeral Vigésimo quinto, de los Lineamientos.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 DE "LAS PARTES". Además de lo previsto en los Lineamientos, para la realización del objeto del presente Convenio, "LAS PARTES" se comprometen a lo siguiente:</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COMPROMISOS DE "LA SECRETARÍA". "LA SECRETARÍA", a través de la UERSJL, se obliga a:</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w:t>
      </w:r>
    </w:p>
    <w:p w:rsidR="00000000" w:rsidDel="00000000" w:rsidP="00000000" w:rsidRDefault="00000000" w:rsidRPr="00000000" w14:paraId="0000006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marco del presente instrumento.</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COMPROMISOS DE "EL GOBIERNO DEL ESTADO". "EL GOBIERNO DEL ESTADO" se compromete 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ejecución de los Proyectos, la cual deberán remitir en formato electrónico y físico, según corresponda conforme a lo señalado en los Lineamientos.</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w:t>
      </w:r>
    </w:p>
    <w:p w:rsidR="00000000" w:rsidDel="00000000" w:rsidP="00000000" w:rsidRDefault="00000000" w:rsidRPr="00000000" w14:paraId="00000088">
      <w:pPr>
        <w:shd w:fill="ffffff" w:val="clear"/>
        <w:spacing w:after="100" w:lineRule="auto"/>
        <w:jc w:val="both"/>
        <w:rPr>
          <w:color w:val="2f2f2f"/>
          <w:sz w:val="18"/>
          <w:szCs w:val="18"/>
        </w:rPr>
      </w:pPr>
      <w:r w:rsidDel="00000000" w:rsidR="00000000" w:rsidRPr="00000000">
        <w:rPr>
          <w:color w:val="2f2f2f"/>
          <w:sz w:val="18"/>
          <w:szCs w:val="18"/>
          <w:rtl w:val="0"/>
        </w:rPr>
        <w:t xml:space="preserve">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TERMINACIÓN ANTICIPADA. El presente Convenio de Coordinación podrá darse por terminado anticipadamente, cuando se presente alguno de los siguientes supuestos:</w:t>
      </w:r>
    </w:p>
    <w:p w:rsidR="00000000" w:rsidDel="00000000" w:rsidP="00000000" w:rsidRDefault="00000000" w:rsidRPr="00000000" w14:paraId="0000009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3">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31 días del mes de mayo de dos mil veintiuno.- Poder Ejecutivo, STPS: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w:t>
      </w:r>
    </w:p>
    <w:p w:rsidR="00000000" w:rsidDel="00000000" w:rsidP="00000000" w:rsidRDefault="00000000" w:rsidRPr="00000000" w14:paraId="000000A4">
      <w:pPr>
        <w:shd w:fill="ffffff" w:val="clear"/>
        <w:spacing w:after="80" w:lineRule="auto"/>
        <w:jc w:val="both"/>
        <w:rPr>
          <w:color w:val="2f2f2f"/>
          <w:sz w:val="18"/>
          <w:szCs w:val="18"/>
        </w:rPr>
      </w:pPr>
      <w:r w:rsidDel="00000000" w:rsidR="00000000" w:rsidRPr="00000000">
        <w:rPr>
          <w:b w:val="1"/>
          <w:color w:val="2f2f2f"/>
          <w:sz w:val="18"/>
          <w:szCs w:val="18"/>
          <w:rtl w:val="0"/>
        </w:rPr>
        <w:t xml:space="preserve">Antonio Hernández Martínez</w:t>
      </w:r>
      <w:r w:rsidDel="00000000" w:rsidR="00000000" w:rsidRPr="00000000">
        <w:rPr>
          <w:color w:val="2f2f2f"/>
          <w:sz w:val="18"/>
          <w:szCs w:val="18"/>
          <w:rtl w:val="0"/>
        </w:rPr>
        <w:t xml:space="preserve">.- Rúbrica.- Gobierno del Estado: Titular de la Secretaría General de Gobierno, Lic. </w:t>
      </w:r>
      <w:r w:rsidDel="00000000" w:rsidR="00000000" w:rsidRPr="00000000">
        <w:rPr>
          <w:b w:val="1"/>
          <w:color w:val="2f2f2f"/>
          <w:sz w:val="18"/>
          <w:szCs w:val="18"/>
          <w:rtl w:val="0"/>
        </w:rPr>
        <w:t xml:space="preserve">Alvaro de la Peña Angulo</w:t>
      </w:r>
      <w:r w:rsidDel="00000000" w:rsidR="00000000" w:rsidRPr="00000000">
        <w:rPr>
          <w:color w:val="2f2f2f"/>
          <w:sz w:val="18"/>
          <w:szCs w:val="18"/>
          <w:rtl w:val="0"/>
        </w:rPr>
        <w:t xml:space="preserve">.- Rúbrica.- Titular de la Secretaría del Trabajo y Desarrollo Social, Mtro. </w:t>
      </w:r>
      <w:r w:rsidDel="00000000" w:rsidR="00000000" w:rsidRPr="00000000">
        <w:rPr>
          <w:b w:val="1"/>
          <w:color w:val="2f2f2f"/>
          <w:sz w:val="18"/>
          <w:szCs w:val="18"/>
          <w:rtl w:val="0"/>
        </w:rPr>
        <w:t xml:space="preserve">Tomas Frank Flores Gameros</w:t>
      </w:r>
      <w:r w:rsidDel="00000000" w:rsidR="00000000" w:rsidRPr="00000000">
        <w:rPr>
          <w:color w:val="2f2f2f"/>
          <w:sz w:val="18"/>
          <w:szCs w:val="18"/>
          <w:rtl w:val="0"/>
        </w:rPr>
        <w:t xml:space="preserve">.- Rúbrica.- Titular de la Secretaría de Finanzas y Administración del Estado, Lic. </w:t>
      </w:r>
      <w:r w:rsidDel="00000000" w:rsidR="00000000" w:rsidRPr="00000000">
        <w:rPr>
          <w:b w:val="1"/>
          <w:color w:val="2f2f2f"/>
          <w:sz w:val="18"/>
          <w:szCs w:val="18"/>
          <w:rtl w:val="0"/>
        </w:rPr>
        <w:t xml:space="preserve">Isidro Jordan Moyron</w:t>
      </w:r>
      <w:r w:rsidDel="00000000" w:rsidR="00000000" w:rsidRPr="00000000">
        <w:rPr>
          <w:color w:val="2f2f2f"/>
          <w:sz w:val="18"/>
          <w:szCs w:val="18"/>
          <w:rtl w:val="0"/>
        </w:rPr>
        <w:t xml:space="preserve">.- Rúbrica.- Representante del Poder Judicial del Estado, Lic. </w:t>
      </w:r>
      <w:r w:rsidDel="00000000" w:rsidR="00000000" w:rsidRPr="00000000">
        <w:rPr>
          <w:b w:val="1"/>
          <w:color w:val="2f2f2f"/>
          <w:sz w:val="18"/>
          <w:szCs w:val="18"/>
          <w:rtl w:val="0"/>
        </w:rPr>
        <w:t xml:space="preserve">Daniel Gallo Rodríguez</w:t>
      </w:r>
      <w:r w:rsidDel="00000000" w:rsidR="00000000" w:rsidRPr="00000000">
        <w:rPr>
          <w:color w:val="2f2f2f"/>
          <w:sz w:val="18"/>
          <w:szCs w:val="18"/>
          <w:rtl w:val="0"/>
        </w:rPr>
        <w:t xml:space="preserve">.- Rúbrica.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