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3AEB" w:rsidRDefault="005B2A17" w:rsidP="005B2A17">
      <w:pPr>
        <w:jc w:val="center"/>
        <w:rPr>
          <w:rFonts w:ascii="Verdana" w:hAnsi="Verdana"/>
          <w:b/>
          <w:color w:val="0070C0"/>
          <w:sz w:val="24"/>
        </w:rPr>
      </w:pPr>
      <w:r w:rsidRPr="005B2A17">
        <w:rPr>
          <w:rFonts w:ascii="Verdana" w:hAnsi="Verdana"/>
          <w:b/>
          <w:color w:val="0070C0"/>
          <w:sz w:val="24"/>
        </w:rPr>
        <w:t>Acuerdo por el que se emite el Man</w:t>
      </w:r>
      <w:bookmarkStart w:id="0" w:name="_GoBack"/>
      <w:bookmarkEnd w:id="0"/>
      <w:r w:rsidRPr="005B2A17">
        <w:rPr>
          <w:rFonts w:ascii="Verdana" w:hAnsi="Verdana"/>
          <w:b/>
          <w:color w:val="0070C0"/>
          <w:sz w:val="24"/>
        </w:rPr>
        <w:t>ual d</w:t>
      </w:r>
      <w:r>
        <w:rPr>
          <w:rFonts w:ascii="Verdana" w:hAnsi="Verdana"/>
          <w:b/>
          <w:color w:val="0070C0"/>
          <w:sz w:val="24"/>
        </w:rPr>
        <w:t>e Importaciones y Exportaciones</w:t>
      </w:r>
    </w:p>
    <w:p w:rsidR="005B2A17" w:rsidRDefault="005B2A17" w:rsidP="005B2A17">
      <w:pPr>
        <w:jc w:val="center"/>
        <w:rPr>
          <w:rFonts w:ascii="Verdana" w:hAnsi="Verdana"/>
          <w:b/>
          <w:color w:val="0070C0"/>
          <w:sz w:val="24"/>
        </w:rPr>
      </w:pPr>
      <w:r>
        <w:rPr>
          <w:rFonts w:ascii="Verdana" w:hAnsi="Verdana"/>
          <w:b/>
          <w:color w:val="0070C0"/>
          <w:sz w:val="24"/>
        </w:rPr>
        <w:t>(DOF del 11 de diciembre de 2017)</w:t>
      </w:r>
    </w:p>
    <w:p w:rsidR="005B2A17" w:rsidRPr="005B2A17" w:rsidRDefault="005B2A17" w:rsidP="005B2A17">
      <w:pPr>
        <w:jc w:val="both"/>
        <w:rPr>
          <w:rFonts w:ascii="Verdana" w:hAnsi="Verdana"/>
          <w:b/>
          <w:bCs/>
          <w:sz w:val="20"/>
        </w:rPr>
      </w:pPr>
      <w:r w:rsidRPr="005B2A17">
        <w:rPr>
          <w:rFonts w:ascii="Verdana" w:hAnsi="Verdana"/>
          <w:b/>
          <w:bCs/>
          <w:sz w:val="20"/>
        </w:rPr>
        <w:t>Al margen un sello con el Escudo Nacional, que dice: Estados Unidos Mexicanos.- Secretaría de Energía.</w:t>
      </w:r>
    </w:p>
    <w:p w:rsidR="005B2A17" w:rsidRPr="005B2A17" w:rsidRDefault="005B2A17" w:rsidP="005B2A17">
      <w:pPr>
        <w:jc w:val="both"/>
        <w:rPr>
          <w:rFonts w:ascii="Verdana" w:hAnsi="Verdana"/>
          <w:sz w:val="20"/>
        </w:rPr>
      </w:pPr>
      <w:r w:rsidRPr="005B2A17">
        <w:rPr>
          <w:rFonts w:ascii="Verdana" w:hAnsi="Verdana"/>
          <w:sz w:val="20"/>
        </w:rPr>
        <w:t>PEDRO JOAQUÍN COLDWELL, Secretario de Energía, con fundamento en el Tercero Transitorio de la Ley de la Industria Eléctrica y en los artículos 33, fracción XXVI, de la Ley Orgánica de la Administración Pública Federal y 4 del Reglamento Interior de la Secretaría de Energía.</w:t>
      </w:r>
    </w:p>
    <w:p w:rsidR="005B2A17" w:rsidRPr="005B2A17" w:rsidRDefault="005B2A17" w:rsidP="005B2A17">
      <w:pPr>
        <w:jc w:val="both"/>
        <w:rPr>
          <w:rFonts w:ascii="Verdana" w:hAnsi="Verdana"/>
          <w:b/>
          <w:bCs/>
          <w:sz w:val="20"/>
        </w:rPr>
      </w:pPr>
      <w:r w:rsidRPr="005B2A17">
        <w:rPr>
          <w:rFonts w:ascii="Verdana" w:hAnsi="Verdana"/>
          <w:b/>
          <w:bCs/>
          <w:sz w:val="20"/>
        </w:rPr>
        <w:t>CONSIDERANDO</w:t>
      </w:r>
    </w:p>
    <w:p w:rsidR="005B2A17" w:rsidRPr="005B2A17" w:rsidRDefault="005B2A17" w:rsidP="005B2A17">
      <w:pPr>
        <w:jc w:val="both"/>
        <w:rPr>
          <w:rFonts w:ascii="Verdana" w:hAnsi="Verdana"/>
          <w:sz w:val="20"/>
        </w:rPr>
      </w:pPr>
      <w:r w:rsidRPr="005B2A17">
        <w:rPr>
          <w:rFonts w:ascii="Verdana" w:hAnsi="Verdana"/>
          <w:sz w:val="20"/>
        </w:rPr>
        <w:t>Que de conformidad con el artículo 25, párrafo quinto, de la Constitución Política de los Estados Unidos Mexicanos, el sector público tendrá a su cargo, de manera exclusiva, las áreas estratégicas que se señalan en el artículo 28, párrafo cuarto, de la Constitución;</w:t>
      </w:r>
    </w:p>
    <w:p w:rsidR="005B2A17" w:rsidRPr="005B2A17" w:rsidRDefault="005B2A17" w:rsidP="005B2A17">
      <w:pPr>
        <w:jc w:val="both"/>
        <w:rPr>
          <w:rFonts w:ascii="Verdana" w:hAnsi="Verdana"/>
          <w:sz w:val="20"/>
        </w:rPr>
      </w:pPr>
      <w:r w:rsidRPr="005B2A17">
        <w:rPr>
          <w:rFonts w:ascii="Verdana" w:hAnsi="Verdana"/>
          <w:sz w:val="20"/>
        </w:rPr>
        <w:t>Que el artículo 27, párrafo sexto, de la Constitución Política de los Estados Unidos Mexicanos establece que corresponde exclusivamente a la Nación la planeación y el control del Sistema Eléctrico Nacional, así como el servicio público de transmisión y distribución de energía eléctrica, y que en estas actividades no se otorgarán concesiones, sin perjuicio de que el Estado pueda celebrar contratos con particulares en los términos que establezcan las leyes, mismas que determinarán la forma en que los particulares podrán participar en las demás actividades de la industria eléctrica;</w:t>
      </w:r>
    </w:p>
    <w:p w:rsidR="005B2A17" w:rsidRPr="005B2A17" w:rsidRDefault="005B2A17" w:rsidP="005B2A17">
      <w:pPr>
        <w:jc w:val="both"/>
        <w:rPr>
          <w:rFonts w:ascii="Verdana" w:hAnsi="Verdana"/>
          <w:sz w:val="20"/>
        </w:rPr>
      </w:pPr>
      <w:r w:rsidRPr="005B2A17">
        <w:rPr>
          <w:rFonts w:ascii="Verdana" w:hAnsi="Verdana"/>
          <w:sz w:val="20"/>
        </w:rPr>
        <w:t>Que el artículo 3, fracción XXXVIII, de la Ley de la Industria Eléctrica establece que las Reglas del Mercado que rigen al Mercado Eléctrico Mayorista se integran por las Bases del Mercado Eléctrico y por las Disposiciones Operativas del Mercado, formando parte de dichas Disposiciones Operativas los Manuales de Prácticas del Mercado, los cuales tienen por objeto desarrollar con mayor detalle los elementos de las Bases del Mercado Eléctrico;</w:t>
      </w:r>
    </w:p>
    <w:p w:rsidR="005B2A17" w:rsidRPr="005B2A17" w:rsidRDefault="005B2A17" w:rsidP="005B2A17">
      <w:pPr>
        <w:jc w:val="both"/>
        <w:rPr>
          <w:rFonts w:ascii="Verdana" w:hAnsi="Verdana"/>
          <w:sz w:val="20"/>
        </w:rPr>
      </w:pPr>
      <w:r w:rsidRPr="005B2A17">
        <w:rPr>
          <w:rFonts w:ascii="Verdana" w:hAnsi="Verdana"/>
          <w:sz w:val="20"/>
        </w:rPr>
        <w:t>Que el Transitorio Tercero, tercer párrafo, de la Ley de la Industria Eléctrica establece que, por única ocasión, la Secretaría de Energía emitirá las primeras Reglas del Mercado, y que dichas Reglas incluirán las Bases del Mercado Eléctrico y las Disposiciones Operativas del Mercado que la referida Secretaría determine;</w:t>
      </w:r>
    </w:p>
    <w:p w:rsidR="005B2A17" w:rsidRPr="005B2A17" w:rsidRDefault="005B2A17" w:rsidP="005B2A17">
      <w:pPr>
        <w:jc w:val="both"/>
        <w:rPr>
          <w:rFonts w:ascii="Verdana" w:hAnsi="Verdana"/>
          <w:sz w:val="20"/>
        </w:rPr>
      </w:pPr>
      <w:r w:rsidRPr="005B2A17">
        <w:rPr>
          <w:rFonts w:ascii="Verdana" w:hAnsi="Verdana"/>
          <w:sz w:val="20"/>
        </w:rPr>
        <w:t>Que el 8 de septiembre de 2015 se publicaron en el Diario Oficial de la Federación las Bases del Mercado Eléctrico, mismas que definen las reglas y procedimientos que deberán llevar a cabo los Participantes del Mercado y las autoridades para mantener una adecuada administración, operación y planeación del Mercado Eléctrico Mayorista;</w:t>
      </w:r>
    </w:p>
    <w:p w:rsidR="005B2A17" w:rsidRPr="005B2A17" w:rsidRDefault="005B2A17" w:rsidP="005B2A17">
      <w:pPr>
        <w:jc w:val="both"/>
        <w:rPr>
          <w:rFonts w:ascii="Verdana" w:hAnsi="Verdana"/>
          <w:sz w:val="20"/>
        </w:rPr>
      </w:pPr>
      <w:r w:rsidRPr="005B2A17">
        <w:rPr>
          <w:rFonts w:ascii="Verdana" w:hAnsi="Verdana"/>
          <w:sz w:val="20"/>
        </w:rPr>
        <w:t xml:space="preserve">Que el Manual de Importaciones y Exportaciones desarrollará con mayor detalle el contenido de la Base 9.7 de las Bases del Mercado Eléctrico y establece los lineamientos y actividades que deberán observar los Participantes del Mercado para la </w:t>
      </w:r>
      <w:r w:rsidRPr="005B2A17">
        <w:rPr>
          <w:rFonts w:ascii="Verdana" w:hAnsi="Verdana"/>
          <w:sz w:val="20"/>
        </w:rPr>
        <w:lastRenderedPageBreak/>
        <w:t>importación y exportación de energía eléctrica al Sistema Eléctrico Nacional a través del Mercado Eléctrico Mayorista; asimismo, menciona los derechos y obligaciones de los Participantes del Mercado establecidas en las Reglas del Mercado y demás disposiciones operativas del Mercado Eléctrico Mayorista, y</w:t>
      </w:r>
    </w:p>
    <w:p w:rsidR="005B2A17" w:rsidRPr="005B2A17" w:rsidRDefault="005B2A17" w:rsidP="005B2A17">
      <w:pPr>
        <w:jc w:val="both"/>
        <w:rPr>
          <w:rFonts w:ascii="Verdana" w:hAnsi="Verdana"/>
          <w:sz w:val="20"/>
        </w:rPr>
      </w:pPr>
      <w:r w:rsidRPr="005B2A17">
        <w:rPr>
          <w:rFonts w:ascii="Verdana" w:hAnsi="Verdana"/>
          <w:sz w:val="20"/>
        </w:rPr>
        <w:t>Que dicho Manual se considera un acto administrativo de carácter general que debe publicarse en el Diario Oficial de la Federación, a fin de que produzca efectos jurídicos, por lo que he tenido a bien emitir el siguiente</w:t>
      </w:r>
    </w:p>
    <w:p w:rsidR="005B2A17" w:rsidRPr="005B2A17" w:rsidRDefault="005B2A17" w:rsidP="005B2A17">
      <w:pPr>
        <w:jc w:val="both"/>
        <w:rPr>
          <w:rFonts w:ascii="Verdana" w:hAnsi="Verdana"/>
          <w:b/>
          <w:bCs/>
          <w:sz w:val="20"/>
        </w:rPr>
      </w:pPr>
      <w:r w:rsidRPr="005B2A17">
        <w:rPr>
          <w:rFonts w:ascii="Verdana" w:hAnsi="Verdana"/>
          <w:b/>
          <w:bCs/>
          <w:sz w:val="20"/>
        </w:rPr>
        <w:t>ACUERDO</w:t>
      </w:r>
    </w:p>
    <w:p w:rsidR="005B2A17" w:rsidRPr="005B2A17" w:rsidRDefault="005B2A17" w:rsidP="005B2A17">
      <w:pPr>
        <w:jc w:val="both"/>
        <w:rPr>
          <w:rFonts w:ascii="Verdana" w:hAnsi="Verdana"/>
          <w:sz w:val="20"/>
        </w:rPr>
      </w:pPr>
      <w:r w:rsidRPr="005B2A17">
        <w:rPr>
          <w:rFonts w:ascii="Verdana" w:hAnsi="Verdana"/>
          <w:b/>
          <w:bCs/>
          <w:sz w:val="20"/>
        </w:rPr>
        <w:t>ARTÍCULO ÚNICO.-</w:t>
      </w:r>
      <w:r w:rsidRPr="005B2A17">
        <w:rPr>
          <w:rFonts w:ascii="Verdana" w:hAnsi="Verdana"/>
          <w:sz w:val="20"/>
        </w:rPr>
        <w:t> La Secretaría de Energía emite el Manual de Importaciones y Exportaciones.</w:t>
      </w:r>
    </w:p>
    <w:p w:rsidR="005B2A17" w:rsidRPr="005B2A17" w:rsidRDefault="005B2A17" w:rsidP="005B2A17">
      <w:pPr>
        <w:jc w:val="both"/>
        <w:rPr>
          <w:rFonts w:ascii="Verdana" w:hAnsi="Verdana"/>
          <w:b/>
          <w:bCs/>
          <w:sz w:val="20"/>
        </w:rPr>
      </w:pPr>
      <w:r w:rsidRPr="005B2A17">
        <w:rPr>
          <w:rFonts w:ascii="Verdana" w:hAnsi="Verdana"/>
          <w:b/>
          <w:bCs/>
          <w:sz w:val="20"/>
        </w:rPr>
        <w:t>TRANSITORIO</w:t>
      </w:r>
    </w:p>
    <w:p w:rsidR="005B2A17" w:rsidRPr="005B2A17" w:rsidRDefault="005B2A17" w:rsidP="005B2A17">
      <w:pPr>
        <w:jc w:val="both"/>
        <w:rPr>
          <w:rFonts w:ascii="Verdana" w:hAnsi="Verdana"/>
          <w:sz w:val="20"/>
        </w:rPr>
      </w:pPr>
      <w:r w:rsidRPr="005B2A17">
        <w:rPr>
          <w:rFonts w:ascii="Verdana" w:hAnsi="Verdana"/>
          <w:b/>
          <w:bCs/>
          <w:sz w:val="20"/>
        </w:rPr>
        <w:t>ÚNICO.</w:t>
      </w:r>
      <w:r w:rsidRPr="005B2A17">
        <w:rPr>
          <w:rFonts w:ascii="Verdana" w:hAnsi="Verdana"/>
          <w:sz w:val="20"/>
        </w:rPr>
        <w:t> El presente Acuerdo entrará en vigor el día de su publicación en el Diario Oficial de la Federación, sin menoscabo de lo previsto en las Disposiciones Transitorias del Manual de Importaciones y Exportaciones.</w:t>
      </w:r>
    </w:p>
    <w:p w:rsidR="005B2A17" w:rsidRPr="005B2A17" w:rsidRDefault="005B2A17" w:rsidP="005B2A17">
      <w:pPr>
        <w:jc w:val="both"/>
        <w:rPr>
          <w:rFonts w:ascii="Verdana" w:hAnsi="Verdana"/>
          <w:sz w:val="20"/>
        </w:rPr>
      </w:pPr>
      <w:r w:rsidRPr="005B2A17">
        <w:rPr>
          <w:rFonts w:ascii="Verdana" w:hAnsi="Verdana"/>
          <w:sz w:val="20"/>
        </w:rPr>
        <w:t>Ciudad de México, a 28 de noviembre de 2017.- El Secretario de Energía, </w:t>
      </w:r>
      <w:r w:rsidRPr="005B2A17">
        <w:rPr>
          <w:rFonts w:ascii="Verdana" w:hAnsi="Verdana"/>
          <w:b/>
          <w:bCs/>
          <w:sz w:val="20"/>
        </w:rPr>
        <w:t>Pedro Joaquín </w:t>
      </w:r>
      <w:proofErr w:type="spellStart"/>
      <w:r w:rsidRPr="005B2A17">
        <w:rPr>
          <w:rFonts w:ascii="Verdana" w:hAnsi="Verdana"/>
          <w:b/>
          <w:bCs/>
          <w:sz w:val="20"/>
        </w:rPr>
        <w:t>Coldwell</w:t>
      </w:r>
      <w:proofErr w:type="spellEnd"/>
      <w:r w:rsidRPr="005B2A17">
        <w:rPr>
          <w:rFonts w:ascii="Verdana" w:hAnsi="Verdana"/>
          <w:sz w:val="20"/>
        </w:rPr>
        <w:t>.- Rúbrica.</w:t>
      </w:r>
    </w:p>
    <w:p w:rsidR="005B2A17" w:rsidRPr="005B2A17" w:rsidRDefault="005B2A17" w:rsidP="005B2A17">
      <w:pPr>
        <w:jc w:val="both"/>
        <w:rPr>
          <w:rFonts w:ascii="Verdana" w:hAnsi="Verdana"/>
          <w:b/>
          <w:bCs/>
          <w:sz w:val="20"/>
        </w:rPr>
      </w:pPr>
      <w:r w:rsidRPr="005B2A17">
        <w:rPr>
          <w:rFonts w:ascii="Verdana" w:hAnsi="Verdana"/>
          <w:b/>
          <w:bCs/>
          <w:sz w:val="20"/>
        </w:rPr>
        <w:t> </w:t>
      </w:r>
    </w:p>
    <w:p w:rsidR="005B2A17" w:rsidRPr="005B2A17" w:rsidRDefault="005B2A17" w:rsidP="005B2A17">
      <w:pPr>
        <w:jc w:val="both"/>
        <w:rPr>
          <w:rFonts w:ascii="Verdana" w:hAnsi="Verdana"/>
          <w:b/>
          <w:bCs/>
          <w:sz w:val="20"/>
        </w:rPr>
      </w:pPr>
      <w:r w:rsidRPr="005B2A17">
        <w:rPr>
          <w:rFonts w:ascii="Verdana" w:hAnsi="Verdana"/>
          <w:b/>
          <w:bCs/>
          <w:sz w:val="20"/>
        </w:rPr>
        <w:t>MANUAL DE IMPORTACIONES Y EXPORTACIONES</w:t>
      </w:r>
    </w:p>
    <w:p w:rsidR="005B2A17" w:rsidRPr="005B2A17" w:rsidRDefault="005B2A17" w:rsidP="005B2A17">
      <w:pPr>
        <w:jc w:val="both"/>
        <w:rPr>
          <w:rFonts w:ascii="Verdana" w:hAnsi="Verdana"/>
          <w:b/>
          <w:bCs/>
          <w:sz w:val="20"/>
        </w:rPr>
      </w:pPr>
      <w:r w:rsidRPr="005B2A17">
        <w:rPr>
          <w:rFonts w:ascii="Verdana" w:hAnsi="Verdana"/>
          <w:b/>
          <w:bCs/>
          <w:sz w:val="20"/>
        </w:rPr>
        <w:t>CONTENIDO</w:t>
      </w:r>
    </w:p>
    <w:p w:rsidR="005B2A17" w:rsidRPr="005B2A17" w:rsidRDefault="005B2A17" w:rsidP="005B2A17">
      <w:pPr>
        <w:jc w:val="both"/>
        <w:rPr>
          <w:rFonts w:ascii="Verdana" w:hAnsi="Verdana"/>
          <w:sz w:val="20"/>
        </w:rPr>
      </w:pPr>
      <w:r w:rsidRPr="005B2A17">
        <w:rPr>
          <w:rFonts w:ascii="Verdana" w:hAnsi="Verdana"/>
          <w:b/>
          <w:bCs/>
          <w:sz w:val="20"/>
        </w:rPr>
        <w:t>CAPÍTULO 1 Introducción</w:t>
      </w:r>
    </w:p>
    <w:p w:rsidR="005B2A17" w:rsidRPr="005B2A17" w:rsidRDefault="005B2A17" w:rsidP="005B2A17">
      <w:pPr>
        <w:jc w:val="both"/>
        <w:rPr>
          <w:rFonts w:ascii="Verdana" w:hAnsi="Verdana"/>
          <w:sz w:val="20"/>
        </w:rPr>
      </w:pPr>
      <w:r w:rsidRPr="005B2A17">
        <w:rPr>
          <w:rFonts w:ascii="Verdana" w:hAnsi="Verdana"/>
          <w:sz w:val="20"/>
        </w:rPr>
        <w:t>1.1   Propósito de los Manuales de Prácticas del Mercado</w:t>
      </w:r>
    </w:p>
    <w:p w:rsidR="005B2A17" w:rsidRPr="005B2A17" w:rsidRDefault="005B2A17" w:rsidP="005B2A17">
      <w:pPr>
        <w:jc w:val="both"/>
        <w:rPr>
          <w:rFonts w:ascii="Verdana" w:hAnsi="Verdana"/>
          <w:sz w:val="20"/>
        </w:rPr>
      </w:pPr>
      <w:r w:rsidRPr="005B2A17">
        <w:rPr>
          <w:rFonts w:ascii="Verdana" w:hAnsi="Verdana"/>
          <w:sz w:val="20"/>
        </w:rPr>
        <w:t>1.2   Propósito y contenido de este Manual</w:t>
      </w:r>
    </w:p>
    <w:p w:rsidR="005B2A17" w:rsidRPr="005B2A17" w:rsidRDefault="005B2A17" w:rsidP="005B2A17">
      <w:pPr>
        <w:jc w:val="both"/>
        <w:rPr>
          <w:rFonts w:ascii="Verdana" w:hAnsi="Verdana"/>
          <w:sz w:val="20"/>
        </w:rPr>
      </w:pPr>
      <w:r w:rsidRPr="005B2A17">
        <w:rPr>
          <w:rFonts w:ascii="Verdana" w:hAnsi="Verdana"/>
          <w:sz w:val="20"/>
        </w:rPr>
        <w:t>1.3   Términos definidos</w:t>
      </w:r>
    </w:p>
    <w:p w:rsidR="005B2A17" w:rsidRPr="005B2A17" w:rsidRDefault="005B2A17" w:rsidP="005B2A17">
      <w:pPr>
        <w:jc w:val="both"/>
        <w:rPr>
          <w:rFonts w:ascii="Verdana" w:hAnsi="Verdana"/>
          <w:sz w:val="20"/>
        </w:rPr>
      </w:pPr>
      <w:r w:rsidRPr="005B2A17">
        <w:rPr>
          <w:rFonts w:ascii="Verdana" w:hAnsi="Verdana"/>
          <w:sz w:val="20"/>
        </w:rPr>
        <w:t>1.4   Reglas de interpretación</w:t>
      </w:r>
    </w:p>
    <w:p w:rsidR="005B2A17" w:rsidRPr="005B2A17" w:rsidRDefault="005B2A17" w:rsidP="005B2A17">
      <w:pPr>
        <w:jc w:val="both"/>
        <w:rPr>
          <w:rFonts w:ascii="Verdana" w:hAnsi="Verdana"/>
          <w:sz w:val="20"/>
        </w:rPr>
      </w:pPr>
      <w:r w:rsidRPr="005B2A17">
        <w:rPr>
          <w:rFonts w:ascii="Verdana" w:hAnsi="Verdana"/>
          <w:b/>
          <w:bCs/>
          <w:sz w:val="20"/>
        </w:rPr>
        <w:t>CAPÍTULO 2 Enlaces de Interconexión existentes en el Sistema Eléctrico Nacional</w:t>
      </w:r>
    </w:p>
    <w:p w:rsidR="005B2A17" w:rsidRPr="005B2A17" w:rsidRDefault="005B2A17" w:rsidP="005B2A17">
      <w:pPr>
        <w:jc w:val="both"/>
        <w:rPr>
          <w:rFonts w:ascii="Verdana" w:hAnsi="Verdana"/>
          <w:sz w:val="20"/>
        </w:rPr>
      </w:pPr>
      <w:r w:rsidRPr="005B2A17">
        <w:rPr>
          <w:rFonts w:ascii="Verdana" w:hAnsi="Verdana"/>
          <w:sz w:val="20"/>
        </w:rPr>
        <w:t>2.1   Disposiciones Generales</w:t>
      </w:r>
    </w:p>
    <w:p w:rsidR="005B2A17" w:rsidRPr="005B2A17" w:rsidRDefault="005B2A17" w:rsidP="005B2A17">
      <w:pPr>
        <w:jc w:val="both"/>
        <w:rPr>
          <w:rFonts w:ascii="Verdana" w:hAnsi="Verdana"/>
          <w:sz w:val="20"/>
        </w:rPr>
      </w:pPr>
      <w:r w:rsidRPr="005B2A17">
        <w:rPr>
          <w:rFonts w:ascii="Verdana" w:hAnsi="Verdana"/>
          <w:sz w:val="20"/>
        </w:rPr>
        <w:t>2.2   Enlaces de Interconexión para importación y exportación comercial</w:t>
      </w:r>
    </w:p>
    <w:p w:rsidR="005B2A17" w:rsidRPr="005B2A17" w:rsidRDefault="005B2A17" w:rsidP="005B2A17">
      <w:pPr>
        <w:jc w:val="both"/>
        <w:rPr>
          <w:rFonts w:ascii="Verdana" w:hAnsi="Verdana"/>
          <w:sz w:val="20"/>
        </w:rPr>
      </w:pPr>
      <w:r w:rsidRPr="005B2A17">
        <w:rPr>
          <w:rFonts w:ascii="Verdana" w:hAnsi="Verdana"/>
          <w:sz w:val="20"/>
        </w:rPr>
        <w:t>2.3   Enlaces de Interconexión para importación/exportación de Unidades de Centrales Eléctricas interconectadas exclusivamente al Sistema Eléctrico Nacional</w:t>
      </w:r>
    </w:p>
    <w:p w:rsidR="005B2A17" w:rsidRPr="005B2A17" w:rsidRDefault="005B2A17" w:rsidP="005B2A17">
      <w:pPr>
        <w:jc w:val="both"/>
        <w:rPr>
          <w:rFonts w:ascii="Verdana" w:hAnsi="Verdana"/>
          <w:sz w:val="20"/>
        </w:rPr>
      </w:pPr>
      <w:r w:rsidRPr="005B2A17">
        <w:rPr>
          <w:rFonts w:ascii="Verdana" w:hAnsi="Verdana"/>
          <w:sz w:val="20"/>
        </w:rPr>
        <w:t>2.4   Enlaces de Interconexión para importación y exportación por Confiabilidad y/o emergencia</w:t>
      </w:r>
    </w:p>
    <w:p w:rsidR="005B2A17" w:rsidRPr="005B2A17" w:rsidRDefault="005B2A17" w:rsidP="005B2A17">
      <w:pPr>
        <w:jc w:val="both"/>
        <w:rPr>
          <w:rFonts w:ascii="Verdana" w:hAnsi="Verdana"/>
          <w:sz w:val="20"/>
        </w:rPr>
      </w:pPr>
      <w:r w:rsidRPr="005B2A17">
        <w:rPr>
          <w:rFonts w:ascii="Verdana" w:hAnsi="Verdana"/>
          <w:sz w:val="20"/>
        </w:rPr>
        <w:lastRenderedPageBreak/>
        <w:t>2.5   Enlaces de Interconexión para exportación a Centros de Carga conectados exclusivamente al Sistema Eléctrico Nacional</w:t>
      </w:r>
    </w:p>
    <w:p w:rsidR="005B2A17" w:rsidRPr="005B2A17" w:rsidRDefault="005B2A17" w:rsidP="005B2A17">
      <w:pPr>
        <w:jc w:val="both"/>
        <w:rPr>
          <w:rFonts w:ascii="Verdana" w:hAnsi="Verdana"/>
          <w:sz w:val="20"/>
        </w:rPr>
      </w:pPr>
      <w:r w:rsidRPr="005B2A17">
        <w:rPr>
          <w:rFonts w:ascii="Verdana" w:hAnsi="Verdana"/>
          <w:sz w:val="20"/>
        </w:rPr>
        <w:t>2.6   Enlaces para Abasto Aislado de importación y exportación</w:t>
      </w:r>
    </w:p>
    <w:p w:rsidR="005B2A17" w:rsidRPr="005B2A17" w:rsidRDefault="005B2A17" w:rsidP="005B2A17">
      <w:pPr>
        <w:jc w:val="both"/>
        <w:rPr>
          <w:rFonts w:ascii="Verdana" w:hAnsi="Verdana"/>
          <w:sz w:val="20"/>
        </w:rPr>
      </w:pPr>
      <w:r w:rsidRPr="005B2A17">
        <w:rPr>
          <w:rFonts w:ascii="Verdana" w:hAnsi="Verdana"/>
          <w:sz w:val="20"/>
        </w:rPr>
        <w:t>2.7   Actualización de características de Enlaces</w:t>
      </w:r>
    </w:p>
    <w:p w:rsidR="005B2A17" w:rsidRPr="005B2A17" w:rsidRDefault="005B2A17" w:rsidP="005B2A17">
      <w:pPr>
        <w:jc w:val="both"/>
        <w:rPr>
          <w:rFonts w:ascii="Verdana" w:hAnsi="Verdana"/>
          <w:sz w:val="20"/>
        </w:rPr>
      </w:pPr>
      <w:r w:rsidRPr="005B2A17">
        <w:rPr>
          <w:rFonts w:ascii="Verdana" w:hAnsi="Verdana"/>
          <w:b/>
          <w:bCs/>
          <w:sz w:val="20"/>
        </w:rPr>
        <w:t>CAPÍTULO 3 Derechos y Obligaciones</w:t>
      </w:r>
    </w:p>
    <w:p w:rsidR="005B2A17" w:rsidRPr="005B2A17" w:rsidRDefault="005B2A17" w:rsidP="005B2A17">
      <w:pPr>
        <w:jc w:val="both"/>
        <w:rPr>
          <w:rFonts w:ascii="Verdana" w:hAnsi="Verdana"/>
          <w:sz w:val="20"/>
        </w:rPr>
      </w:pPr>
      <w:r w:rsidRPr="005B2A17">
        <w:rPr>
          <w:rFonts w:ascii="Verdana" w:hAnsi="Verdana"/>
          <w:sz w:val="20"/>
        </w:rPr>
        <w:t>3.1   Derechos y Obligaciones de los Transportistas y Distribuidores</w:t>
      </w:r>
    </w:p>
    <w:p w:rsidR="005B2A17" w:rsidRPr="005B2A17" w:rsidRDefault="005B2A17" w:rsidP="005B2A17">
      <w:pPr>
        <w:jc w:val="both"/>
        <w:rPr>
          <w:rFonts w:ascii="Verdana" w:hAnsi="Verdana"/>
          <w:sz w:val="20"/>
        </w:rPr>
      </w:pPr>
      <w:r w:rsidRPr="005B2A17">
        <w:rPr>
          <w:rFonts w:ascii="Verdana" w:hAnsi="Verdana"/>
          <w:sz w:val="20"/>
        </w:rPr>
        <w:t>3.2   Derechos y Obligaciones de los Participantes del Mercado</w:t>
      </w:r>
    </w:p>
    <w:p w:rsidR="005B2A17" w:rsidRPr="005B2A17" w:rsidRDefault="005B2A17" w:rsidP="005B2A17">
      <w:pPr>
        <w:jc w:val="both"/>
        <w:rPr>
          <w:rFonts w:ascii="Verdana" w:hAnsi="Verdana"/>
          <w:sz w:val="20"/>
        </w:rPr>
      </w:pPr>
      <w:r w:rsidRPr="005B2A17">
        <w:rPr>
          <w:rFonts w:ascii="Verdana" w:hAnsi="Verdana"/>
          <w:sz w:val="20"/>
        </w:rPr>
        <w:t>3.3   Derechos y Obligaciones del Generador de Intermediación</w:t>
      </w:r>
    </w:p>
    <w:p w:rsidR="005B2A17" w:rsidRPr="005B2A17" w:rsidRDefault="005B2A17" w:rsidP="005B2A17">
      <w:pPr>
        <w:jc w:val="both"/>
        <w:rPr>
          <w:rFonts w:ascii="Verdana" w:hAnsi="Verdana"/>
          <w:sz w:val="20"/>
        </w:rPr>
      </w:pPr>
      <w:r w:rsidRPr="005B2A17">
        <w:rPr>
          <w:rFonts w:ascii="Verdana" w:hAnsi="Verdana"/>
          <w:sz w:val="20"/>
        </w:rPr>
        <w:t>3.4   Derechos y Obligaciones del CENACE</w:t>
      </w:r>
    </w:p>
    <w:p w:rsidR="005B2A17" w:rsidRPr="005B2A17" w:rsidRDefault="005B2A17" w:rsidP="005B2A17">
      <w:pPr>
        <w:jc w:val="both"/>
        <w:rPr>
          <w:rFonts w:ascii="Verdana" w:hAnsi="Verdana"/>
          <w:sz w:val="20"/>
        </w:rPr>
      </w:pPr>
      <w:r w:rsidRPr="005B2A17">
        <w:rPr>
          <w:rFonts w:ascii="Verdana" w:hAnsi="Verdana"/>
          <w:b/>
          <w:bCs/>
          <w:sz w:val="20"/>
        </w:rPr>
        <w:t>CAPÍTULO 4 Capacidad Absoluta de Transferencia Disponible en los Enlaces de Interconexión</w:t>
      </w:r>
    </w:p>
    <w:p w:rsidR="005B2A17" w:rsidRPr="005B2A17" w:rsidRDefault="005B2A17" w:rsidP="005B2A17">
      <w:pPr>
        <w:jc w:val="both"/>
        <w:rPr>
          <w:rFonts w:ascii="Verdana" w:hAnsi="Verdana"/>
          <w:sz w:val="20"/>
        </w:rPr>
      </w:pPr>
      <w:r w:rsidRPr="005B2A17">
        <w:rPr>
          <w:rFonts w:ascii="Verdana" w:hAnsi="Verdana"/>
          <w:b/>
          <w:bCs/>
          <w:sz w:val="20"/>
        </w:rPr>
        <w:t>CAPÍTULO 5 Puntos de Entrega y Puntos de Recepción para la importación y exportación de energía entre sistemas eléctricos</w:t>
      </w:r>
    </w:p>
    <w:p w:rsidR="005B2A17" w:rsidRPr="005B2A17" w:rsidRDefault="005B2A17" w:rsidP="005B2A17">
      <w:pPr>
        <w:jc w:val="both"/>
        <w:rPr>
          <w:rFonts w:ascii="Verdana" w:hAnsi="Verdana"/>
          <w:sz w:val="20"/>
        </w:rPr>
      </w:pPr>
      <w:r w:rsidRPr="005B2A17">
        <w:rPr>
          <w:rFonts w:ascii="Verdana" w:hAnsi="Verdana"/>
          <w:b/>
          <w:bCs/>
          <w:sz w:val="20"/>
        </w:rPr>
        <w:t>CAPÍTULO 6 Programación de importaciones y exportaciones en el Mercado del Día en Adelanto</w:t>
      </w:r>
    </w:p>
    <w:p w:rsidR="005B2A17" w:rsidRPr="005B2A17" w:rsidRDefault="005B2A17" w:rsidP="005B2A17">
      <w:pPr>
        <w:jc w:val="both"/>
        <w:rPr>
          <w:rFonts w:ascii="Verdana" w:hAnsi="Verdana"/>
          <w:sz w:val="20"/>
        </w:rPr>
      </w:pPr>
      <w:r w:rsidRPr="005B2A17">
        <w:rPr>
          <w:rFonts w:ascii="Verdana" w:hAnsi="Verdana"/>
          <w:sz w:val="20"/>
        </w:rPr>
        <w:t>6.1   Generalidades</w:t>
      </w:r>
    </w:p>
    <w:p w:rsidR="005B2A17" w:rsidRPr="005B2A17" w:rsidRDefault="005B2A17" w:rsidP="005B2A17">
      <w:pPr>
        <w:jc w:val="both"/>
        <w:rPr>
          <w:rFonts w:ascii="Verdana" w:hAnsi="Verdana"/>
          <w:sz w:val="20"/>
        </w:rPr>
      </w:pPr>
      <w:r w:rsidRPr="005B2A17">
        <w:rPr>
          <w:rFonts w:ascii="Verdana" w:hAnsi="Verdana"/>
          <w:sz w:val="20"/>
        </w:rPr>
        <w:t>6.2   Programación de importación y exportación por los Participantes del Mercado.</w:t>
      </w:r>
    </w:p>
    <w:p w:rsidR="005B2A17" w:rsidRPr="005B2A17" w:rsidRDefault="005B2A17" w:rsidP="005B2A17">
      <w:pPr>
        <w:jc w:val="both"/>
        <w:rPr>
          <w:rFonts w:ascii="Verdana" w:hAnsi="Verdana"/>
          <w:sz w:val="20"/>
        </w:rPr>
      </w:pPr>
      <w:r w:rsidRPr="005B2A17">
        <w:rPr>
          <w:rFonts w:ascii="Verdana" w:hAnsi="Verdana"/>
          <w:sz w:val="20"/>
        </w:rPr>
        <w:t>6.3   Convenios con organismos o autoridades que sean responsables de operar los mercados y sistemas eléctricos en el extranjero</w:t>
      </w:r>
    </w:p>
    <w:p w:rsidR="005B2A17" w:rsidRPr="005B2A17" w:rsidRDefault="005B2A17" w:rsidP="005B2A17">
      <w:pPr>
        <w:jc w:val="both"/>
        <w:rPr>
          <w:rFonts w:ascii="Verdana" w:hAnsi="Verdana"/>
          <w:sz w:val="20"/>
        </w:rPr>
      </w:pPr>
      <w:r w:rsidRPr="005B2A17">
        <w:rPr>
          <w:rFonts w:ascii="Verdana" w:hAnsi="Verdana"/>
          <w:sz w:val="20"/>
        </w:rPr>
        <w:t>6.4   Estructura de oferta de importación de Participantes del Mercado</w:t>
      </w:r>
    </w:p>
    <w:p w:rsidR="005B2A17" w:rsidRPr="005B2A17" w:rsidRDefault="005B2A17" w:rsidP="005B2A17">
      <w:pPr>
        <w:jc w:val="both"/>
        <w:rPr>
          <w:rFonts w:ascii="Verdana" w:hAnsi="Verdana"/>
          <w:sz w:val="20"/>
        </w:rPr>
      </w:pPr>
      <w:r w:rsidRPr="005B2A17">
        <w:rPr>
          <w:rFonts w:ascii="Verdana" w:hAnsi="Verdana"/>
          <w:sz w:val="20"/>
        </w:rPr>
        <w:t> </w:t>
      </w:r>
    </w:p>
    <w:p w:rsidR="005B2A17" w:rsidRPr="005B2A17" w:rsidRDefault="005B2A17" w:rsidP="005B2A17">
      <w:pPr>
        <w:jc w:val="both"/>
        <w:rPr>
          <w:rFonts w:ascii="Verdana" w:hAnsi="Verdana"/>
          <w:sz w:val="20"/>
        </w:rPr>
      </w:pPr>
      <w:r w:rsidRPr="005B2A17">
        <w:rPr>
          <w:rFonts w:ascii="Verdana" w:hAnsi="Verdana"/>
          <w:sz w:val="20"/>
        </w:rPr>
        <w:t>6.5   Estructura de oferta de exportación de Participantes del Mercado</w:t>
      </w:r>
    </w:p>
    <w:p w:rsidR="005B2A17" w:rsidRPr="005B2A17" w:rsidRDefault="005B2A17" w:rsidP="005B2A17">
      <w:pPr>
        <w:jc w:val="both"/>
        <w:rPr>
          <w:rFonts w:ascii="Verdana" w:hAnsi="Verdana"/>
          <w:sz w:val="20"/>
        </w:rPr>
      </w:pPr>
      <w:r w:rsidRPr="005B2A17">
        <w:rPr>
          <w:rFonts w:ascii="Verdana" w:hAnsi="Verdana"/>
          <w:sz w:val="20"/>
        </w:rPr>
        <w:t>6.6   Programación de importación y exportación por el Generador de Intermediación</w:t>
      </w:r>
    </w:p>
    <w:p w:rsidR="005B2A17" w:rsidRPr="005B2A17" w:rsidRDefault="005B2A17" w:rsidP="005B2A17">
      <w:pPr>
        <w:jc w:val="both"/>
        <w:rPr>
          <w:rFonts w:ascii="Verdana" w:hAnsi="Verdana"/>
          <w:sz w:val="20"/>
        </w:rPr>
      </w:pPr>
      <w:r w:rsidRPr="005B2A17">
        <w:rPr>
          <w:rFonts w:ascii="Verdana" w:hAnsi="Verdana"/>
          <w:sz w:val="20"/>
        </w:rPr>
        <w:t>6.7   Estructura de programa de importación del Generador de Intermediación</w:t>
      </w:r>
    </w:p>
    <w:p w:rsidR="005B2A17" w:rsidRPr="005B2A17" w:rsidRDefault="005B2A17" w:rsidP="005B2A17">
      <w:pPr>
        <w:jc w:val="both"/>
        <w:rPr>
          <w:rFonts w:ascii="Verdana" w:hAnsi="Verdana"/>
          <w:sz w:val="20"/>
        </w:rPr>
      </w:pPr>
      <w:r w:rsidRPr="005B2A17">
        <w:rPr>
          <w:rFonts w:ascii="Verdana" w:hAnsi="Verdana"/>
          <w:sz w:val="20"/>
        </w:rPr>
        <w:t>6.8   Estructura de programa de exportación de Contratos de Interconexión Legados</w:t>
      </w:r>
    </w:p>
    <w:p w:rsidR="005B2A17" w:rsidRPr="005B2A17" w:rsidRDefault="005B2A17" w:rsidP="005B2A17">
      <w:pPr>
        <w:jc w:val="both"/>
        <w:rPr>
          <w:rFonts w:ascii="Verdana" w:hAnsi="Verdana"/>
          <w:sz w:val="20"/>
        </w:rPr>
      </w:pPr>
      <w:r w:rsidRPr="005B2A17">
        <w:rPr>
          <w:rFonts w:ascii="Verdana" w:hAnsi="Verdana"/>
          <w:sz w:val="20"/>
        </w:rPr>
        <w:t>6.9   Asignación de programas finales de importación y exportación.</w:t>
      </w:r>
    </w:p>
    <w:p w:rsidR="005B2A17" w:rsidRPr="005B2A17" w:rsidRDefault="005B2A17" w:rsidP="005B2A17">
      <w:pPr>
        <w:jc w:val="both"/>
        <w:rPr>
          <w:rFonts w:ascii="Verdana" w:hAnsi="Verdana"/>
          <w:sz w:val="20"/>
        </w:rPr>
      </w:pPr>
      <w:r w:rsidRPr="005B2A17">
        <w:rPr>
          <w:rFonts w:ascii="Verdana" w:hAnsi="Verdana"/>
          <w:sz w:val="20"/>
        </w:rPr>
        <w:t>6.10 Asignación para Participantes del Mercado</w:t>
      </w:r>
    </w:p>
    <w:p w:rsidR="005B2A17" w:rsidRPr="005B2A17" w:rsidRDefault="005B2A17" w:rsidP="005B2A17">
      <w:pPr>
        <w:jc w:val="both"/>
        <w:rPr>
          <w:rFonts w:ascii="Verdana" w:hAnsi="Verdana"/>
          <w:sz w:val="20"/>
        </w:rPr>
      </w:pPr>
      <w:r w:rsidRPr="005B2A17">
        <w:rPr>
          <w:rFonts w:ascii="Verdana" w:hAnsi="Verdana"/>
          <w:sz w:val="20"/>
        </w:rPr>
        <w:t>6.11 Asignación para el Generador de Intermediación</w:t>
      </w:r>
    </w:p>
    <w:p w:rsidR="005B2A17" w:rsidRPr="005B2A17" w:rsidRDefault="005B2A17" w:rsidP="005B2A17">
      <w:pPr>
        <w:jc w:val="both"/>
        <w:rPr>
          <w:rFonts w:ascii="Verdana" w:hAnsi="Verdana"/>
          <w:sz w:val="20"/>
        </w:rPr>
      </w:pPr>
      <w:r w:rsidRPr="005B2A17">
        <w:rPr>
          <w:rFonts w:ascii="Verdana" w:hAnsi="Verdana"/>
          <w:sz w:val="20"/>
        </w:rPr>
        <w:t>6.12 Asignación en el Enlace de Interconexión Cumbres Rail Road con ERCOT</w:t>
      </w:r>
    </w:p>
    <w:p w:rsidR="005B2A17" w:rsidRPr="005B2A17" w:rsidRDefault="005B2A17" w:rsidP="005B2A17">
      <w:pPr>
        <w:jc w:val="both"/>
        <w:rPr>
          <w:rFonts w:ascii="Verdana" w:hAnsi="Verdana"/>
          <w:sz w:val="20"/>
        </w:rPr>
      </w:pPr>
      <w:r w:rsidRPr="005B2A17">
        <w:rPr>
          <w:rFonts w:ascii="Verdana" w:hAnsi="Verdana"/>
          <w:b/>
          <w:bCs/>
          <w:sz w:val="20"/>
        </w:rPr>
        <w:lastRenderedPageBreak/>
        <w:t>CAPÍTULO 7 Implementación de Etiquetas Electrónicas</w:t>
      </w:r>
    </w:p>
    <w:p w:rsidR="005B2A17" w:rsidRPr="005B2A17" w:rsidRDefault="005B2A17" w:rsidP="005B2A17">
      <w:pPr>
        <w:jc w:val="both"/>
        <w:rPr>
          <w:rFonts w:ascii="Verdana" w:hAnsi="Verdana"/>
          <w:sz w:val="20"/>
        </w:rPr>
      </w:pPr>
      <w:r w:rsidRPr="005B2A17">
        <w:rPr>
          <w:rFonts w:ascii="Verdana" w:hAnsi="Verdana"/>
          <w:sz w:val="20"/>
        </w:rPr>
        <w:t>7.1   Disposiciones Generales</w:t>
      </w:r>
    </w:p>
    <w:p w:rsidR="005B2A17" w:rsidRPr="005B2A17" w:rsidRDefault="005B2A17" w:rsidP="005B2A17">
      <w:pPr>
        <w:jc w:val="both"/>
        <w:rPr>
          <w:rFonts w:ascii="Verdana" w:hAnsi="Verdana"/>
          <w:sz w:val="20"/>
        </w:rPr>
      </w:pPr>
      <w:r w:rsidRPr="005B2A17">
        <w:rPr>
          <w:rFonts w:ascii="Verdana" w:hAnsi="Verdana"/>
          <w:sz w:val="20"/>
        </w:rPr>
        <w:t>7.2   Disposiciones Generales para las Etiquetas Electrónicas en los Enlaces de interconexión en el Norte del País.</w:t>
      </w:r>
    </w:p>
    <w:p w:rsidR="005B2A17" w:rsidRPr="005B2A17" w:rsidRDefault="005B2A17" w:rsidP="005B2A17">
      <w:pPr>
        <w:jc w:val="both"/>
        <w:rPr>
          <w:rFonts w:ascii="Verdana" w:hAnsi="Verdana"/>
          <w:sz w:val="20"/>
        </w:rPr>
      </w:pPr>
      <w:r w:rsidRPr="005B2A17">
        <w:rPr>
          <w:rFonts w:ascii="Verdana" w:hAnsi="Verdana"/>
          <w:sz w:val="20"/>
        </w:rPr>
        <w:t>7.3   Etiquetas Electrónicas con el sistema eléctrico de ERCOT</w:t>
      </w:r>
    </w:p>
    <w:p w:rsidR="005B2A17" w:rsidRPr="005B2A17" w:rsidRDefault="005B2A17" w:rsidP="005B2A17">
      <w:pPr>
        <w:jc w:val="both"/>
        <w:rPr>
          <w:rFonts w:ascii="Verdana" w:hAnsi="Verdana"/>
          <w:sz w:val="20"/>
        </w:rPr>
      </w:pPr>
      <w:r w:rsidRPr="005B2A17">
        <w:rPr>
          <w:rFonts w:ascii="Verdana" w:hAnsi="Verdana"/>
          <w:sz w:val="20"/>
        </w:rPr>
        <w:t>7.4   Etiquetas Electrónicas con el sistema eléctrico de WECC</w:t>
      </w:r>
    </w:p>
    <w:p w:rsidR="005B2A17" w:rsidRPr="005B2A17" w:rsidRDefault="005B2A17" w:rsidP="005B2A17">
      <w:pPr>
        <w:jc w:val="both"/>
        <w:rPr>
          <w:rFonts w:ascii="Verdana" w:hAnsi="Verdana"/>
          <w:sz w:val="20"/>
        </w:rPr>
      </w:pPr>
      <w:r w:rsidRPr="005B2A17">
        <w:rPr>
          <w:rFonts w:ascii="Verdana" w:hAnsi="Verdana"/>
          <w:sz w:val="20"/>
        </w:rPr>
        <w:t>7.5   Programas de energía en el sistema eléctrico de Guatemala</w:t>
      </w:r>
    </w:p>
    <w:p w:rsidR="005B2A17" w:rsidRPr="005B2A17" w:rsidRDefault="005B2A17" w:rsidP="005B2A17">
      <w:pPr>
        <w:jc w:val="both"/>
        <w:rPr>
          <w:rFonts w:ascii="Verdana" w:hAnsi="Verdana"/>
          <w:sz w:val="20"/>
        </w:rPr>
      </w:pPr>
      <w:r w:rsidRPr="005B2A17">
        <w:rPr>
          <w:rFonts w:ascii="Verdana" w:hAnsi="Verdana"/>
          <w:sz w:val="20"/>
        </w:rPr>
        <w:t>7.6   Programas de energía en el sistema eléctrico de Belice</w:t>
      </w:r>
    </w:p>
    <w:p w:rsidR="005B2A17" w:rsidRPr="005B2A17" w:rsidRDefault="005B2A17" w:rsidP="005B2A17">
      <w:pPr>
        <w:jc w:val="both"/>
        <w:rPr>
          <w:rFonts w:ascii="Verdana" w:hAnsi="Verdana"/>
          <w:sz w:val="20"/>
        </w:rPr>
      </w:pPr>
      <w:r w:rsidRPr="005B2A17">
        <w:rPr>
          <w:rFonts w:ascii="Verdana" w:hAnsi="Verdana"/>
          <w:b/>
          <w:bCs/>
          <w:sz w:val="20"/>
        </w:rPr>
        <w:t>CAPÍTULO 8 Reducciones a los programas de importación y exportación</w:t>
      </w:r>
    </w:p>
    <w:p w:rsidR="005B2A17" w:rsidRPr="005B2A17" w:rsidRDefault="005B2A17" w:rsidP="005B2A17">
      <w:pPr>
        <w:jc w:val="both"/>
        <w:rPr>
          <w:rFonts w:ascii="Verdana" w:hAnsi="Verdana"/>
          <w:sz w:val="20"/>
        </w:rPr>
      </w:pPr>
      <w:r w:rsidRPr="005B2A17">
        <w:rPr>
          <w:rFonts w:ascii="Verdana" w:hAnsi="Verdana"/>
          <w:b/>
          <w:bCs/>
          <w:sz w:val="20"/>
        </w:rPr>
        <w:t>CAPÍTULO 9 Importaciones y exportaciones por Confiabilidad y/o emergencia</w:t>
      </w:r>
    </w:p>
    <w:p w:rsidR="005B2A17" w:rsidRPr="005B2A17" w:rsidRDefault="005B2A17" w:rsidP="005B2A17">
      <w:pPr>
        <w:jc w:val="both"/>
        <w:rPr>
          <w:rFonts w:ascii="Verdana" w:hAnsi="Verdana"/>
          <w:sz w:val="20"/>
        </w:rPr>
      </w:pPr>
      <w:r w:rsidRPr="005B2A17">
        <w:rPr>
          <w:rFonts w:ascii="Verdana" w:hAnsi="Verdana"/>
          <w:sz w:val="20"/>
        </w:rPr>
        <w:t>9.1   Disposiciones Generales</w:t>
      </w:r>
    </w:p>
    <w:p w:rsidR="005B2A17" w:rsidRPr="005B2A17" w:rsidRDefault="005B2A17" w:rsidP="005B2A17">
      <w:pPr>
        <w:jc w:val="both"/>
        <w:rPr>
          <w:rFonts w:ascii="Verdana" w:hAnsi="Verdana"/>
          <w:sz w:val="20"/>
        </w:rPr>
      </w:pPr>
      <w:r w:rsidRPr="005B2A17">
        <w:rPr>
          <w:rFonts w:ascii="Verdana" w:hAnsi="Verdana"/>
          <w:sz w:val="20"/>
        </w:rPr>
        <w:t>9.2   Procedimiento para importación y exportación por Confiabilidad y/o emergencia</w:t>
      </w:r>
    </w:p>
    <w:p w:rsidR="005B2A17" w:rsidRPr="005B2A17" w:rsidRDefault="005B2A17" w:rsidP="005B2A17">
      <w:pPr>
        <w:jc w:val="both"/>
        <w:rPr>
          <w:rFonts w:ascii="Verdana" w:hAnsi="Verdana"/>
          <w:sz w:val="20"/>
        </w:rPr>
      </w:pPr>
      <w:r w:rsidRPr="005B2A17">
        <w:rPr>
          <w:rFonts w:ascii="Verdana" w:hAnsi="Verdana"/>
          <w:b/>
          <w:bCs/>
          <w:sz w:val="20"/>
        </w:rPr>
        <w:t>CAPÍTULO 10 Administración de la energía inadvertida</w:t>
      </w:r>
    </w:p>
    <w:p w:rsidR="005B2A17" w:rsidRPr="005B2A17" w:rsidRDefault="005B2A17" w:rsidP="005B2A17">
      <w:pPr>
        <w:jc w:val="both"/>
        <w:rPr>
          <w:rFonts w:ascii="Verdana" w:hAnsi="Verdana"/>
          <w:sz w:val="20"/>
        </w:rPr>
      </w:pPr>
      <w:r w:rsidRPr="005B2A17">
        <w:rPr>
          <w:rFonts w:ascii="Verdana" w:hAnsi="Verdana"/>
          <w:b/>
          <w:bCs/>
          <w:sz w:val="20"/>
        </w:rPr>
        <w:t>CAPÍTULO 11 Liquidaciones</w:t>
      </w:r>
    </w:p>
    <w:p w:rsidR="005B2A17" w:rsidRPr="005B2A17" w:rsidRDefault="005B2A17" w:rsidP="005B2A17">
      <w:pPr>
        <w:jc w:val="both"/>
        <w:rPr>
          <w:rFonts w:ascii="Verdana" w:hAnsi="Verdana"/>
          <w:sz w:val="20"/>
        </w:rPr>
      </w:pPr>
      <w:r w:rsidRPr="005B2A17">
        <w:rPr>
          <w:rFonts w:ascii="Verdana" w:hAnsi="Verdana"/>
          <w:b/>
          <w:bCs/>
          <w:sz w:val="20"/>
        </w:rPr>
        <w:t>CAPÍTULO 12 Disposiciones Transitorias</w:t>
      </w:r>
    </w:p>
    <w:p w:rsidR="005B2A17" w:rsidRPr="005B2A17" w:rsidRDefault="005B2A17" w:rsidP="005B2A17">
      <w:pPr>
        <w:jc w:val="both"/>
        <w:rPr>
          <w:rFonts w:ascii="Verdana" w:hAnsi="Verdana"/>
          <w:sz w:val="20"/>
        </w:rPr>
      </w:pPr>
      <w:r w:rsidRPr="005B2A17">
        <w:rPr>
          <w:rFonts w:ascii="Verdana" w:hAnsi="Verdana"/>
          <w:sz w:val="20"/>
        </w:rPr>
        <w:t>12.1 Disposiciones transitorias</w:t>
      </w:r>
    </w:p>
    <w:p w:rsidR="005B2A17" w:rsidRPr="005B2A17" w:rsidRDefault="005B2A17" w:rsidP="005B2A17">
      <w:pPr>
        <w:jc w:val="both"/>
        <w:rPr>
          <w:rFonts w:ascii="Verdana" w:hAnsi="Verdana"/>
          <w:sz w:val="20"/>
        </w:rPr>
      </w:pPr>
      <w:r w:rsidRPr="005B2A17">
        <w:rPr>
          <w:rFonts w:ascii="Verdana" w:hAnsi="Verdana"/>
          <w:b/>
          <w:bCs/>
          <w:sz w:val="20"/>
        </w:rPr>
        <w:t>ANEXO 1 Asignación de las Importaciones y Exportaciones de Participantes del Mercado</w:t>
      </w:r>
    </w:p>
    <w:p w:rsidR="005B2A17" w:rsidRPr="005B2A17" w:rsidRDefault="005B2A17" w:rsidP="005B2A17">
      <w:pPr>
        <w:jc w:val="both"/>
        <w:rPr>
          <w:rFonts w:ascii="Verdana" w:hAnsi="Verdana"/>
          <w:sz w:val="20"/>
        </w:rPr>
      </w:pPr>
      <w:r w:rsidRPr="005B2A17">
        <w:rPr>
          <w:rFonts w:ascii="Verdana" w:hAnsi="Verdana"/>
          <w:b/>
          <w:bCs/>
          <w:sz w:val="20"/>
        </w:rPr>
        <w:t>ANEXO 2 Asignación de las Importaciones y Exportaciones del Generador de Intermediación para Contratos de Interconexión Legados</w:t>
      </w:r>
    </w:p>
    <w:p w:rsidR="005B2A17" w:rsidRPr="005B2A17" w:rsidRDefault="005B2A17" w:rsidP="005B2A17">
      <w:pPr>
        <w:jc w:val="both"/>
        <w:rPr>
          <w:rFonts w:ascii="Verdana" w:hAnsi="Verdana"/>
          <w:sz w:val="20"/>
        </w:rPr>
      </w:pPr>
      <w:r w:rsidRPr="005B2A17">
        <w:rPr>
          <w:rFonts w:ascii="Verdana" w:hAnsi="Verdana"/>
          <w:b/>
          <w:bCs/>
          <w:sz w:val="20"/>
        </w:rPr>
        <w:t>ANEXO 3 Ejemplo de Etiqueta Electrónica de importación con el sistema eléctrico de ERCOT</w:t>
      </w:r>
    </w:p>
    <w:p w:rsidR="005B2A17" w:rsidRPr="005B2A17" w:rsidRDefault="005B2A17" w:rsidP="005B2A17">
      <w:pPr>
        <w:jc w:val="both"/>
        <w:rPr>
          <w:rFonts w:ascii="Verdana" w:hAnsi="Verdana"/>
          <w:sz w:val="20"/>
        </w:rPr>
      </w:pPr>
      <w:r w:rsidRPr="005B2A17">
        <w:rPr>
          <w:rFonts w:ascii="Verdana" w:hAnsi="Verdana"/>
          <w:b/>
          <w:bCs/>
          <w:sz w:val="20"/>
        </w:rPr>
        <w:t>ANEXO 4 Ejemplo de Etiqueta Electrónica de importación con el sistema eléctrico de WECC</w:t>
      </w:r>
    </w:p>
    <w:p w:rsidR="005B2A17" w:rsidRPr="005B2A17" w:rsidRDefault="005B2A17" w:rsidP="005B2A17">
      <w:pPr>
        <w:jc w:val="both"/>
        <w:rPr>
          <w:rFonts w:ascii="Verdana" w:hAnsi="Verdana"/>
          <w:sz w:val="20"/>
        </w:rPr>
      </w:pPr>
      <w:r w:rsidRPr="005B2A17">
        <w:rPr>
          <w:rFonts w:ascii="Verdana" w:hAnsi="Verdana"/>
          <w:b/>
          <w:bCs/>
          <w:sz w:val="20"/>
        </w:rPr>
        <w:t>ANEXO 5 Ejemplo de programa de intercambio definitivo con el sistema eléctrico de Guatemala</w:t>
      </w:r>
    </w:p>
    <w:p w:rsidR="005B2A17" w:rsidRPr="005B2A17" w:rsidRDefault="005B2A17" w:rsidP="005B2A17">
      <w:pPr>
        <w:jc w:val="both"/>
        <w:rPr>
          <w:rFonts w:ascii="Verdana" w:hAnsi="Verdana"/>
          <w:sz w:val="20"/>
        </w:rPr>
      </w:pPr>
      <w:r w:rsidRPr="005B2A17">
        <w:rPr>
          <w:rFonts w:ascii="Verdana" w:hAnsi="Verdana"/>
          <w:b/>
          <w:bCs/>
          <w:sz w:val="20"/>
        </w:rPr>
        <w:t>ANEXO 6 Ejemplo de programa de intercambio definitivo con el sistema eléctrico de Belice</w:t>
      </w:r>
    </w:p>
    <w:p w:rsidR="005B2A17" w:rsidRPr="005B2A17" w:rsidRDefault="005B2A17" w:rsidP="005B2A17">
      <w:pPr>
        <w:jc w:val="both"/>
        <w:rPr>
          <w:rFonts w:ascii="Verdana" w:hAnsi="Verdana"/>
          <w:sz w:val="20"/>
        </w:rPr>
      </w:pPr>
      <w:r w:rsidRPr="005B2A17">
        <w:rPr>
          <w:rFonts w:ascii="Verdana" w:hAnsi="Verdana"/>
          <w:sz w:val="20"/>
        </w:rPr>
        <w:t> </w:t>
      </w:r>
    </w:p>
    <w:p w:rsidR="005B2A17" w:rsidRPr="005B2A17" w:rsidRDefault="005B2A17" w:rsidP="005B2A17">
      <w:pPr>
        <w:jc w:val="both"/>
        <w:rPr>
          <w:rFonts w:ascii="Verdana" w:hAnsi="Verdana"/>
          <w:sz w:val="20"/>
        </w:rPr>
      </w:pPr>
      <w:r w:rsidRPr="005B2A17">
        <w:rPr>
          <w:rFonts w:ascii="Verdana" w:hAnsi="Verdana"/>
          <w:b/>
          <w:bCs/>
          <w:sz w:val="20"/>
        </w:rPr>
        <w:lastRenderedPageBreak/>
        <w:t>ANEXO 7 Asignación de programas de importación y exportación por criterio de precios de oferta</w:t>
      </w:r>
    </w:p>
    <w:p w:rsidR="005B2A17" w:rsidRPr="005B2A17" w:rsidRDefault="005B2A17" w:rsidP="005B2A17">
      <w:pPr>
        <w:jc w:val="both"/>
        <w:rPr>
          <w:rFonts w:ascii="Verdana" w:hAnsi="Verdana"/>
          <w:b/>
          <w:bCs/>
          <w:sz w:val="20"/>
        </w:rPr>
      </w:pPr>
      <w:r w:rsidRPr="005B2A17">
        <w:rPr>
          <w:rFonts w:ascii="Verdana" w:hAnsi="Verdana"/>
          <w:b/>
          <w:bCs/>
          <w:sz w:val="20"/>
        </w:rPr>
        <w:t>MANUAL DE IMPORTACIONES Y EXPORTACIONES</w:t>
      </w:r>
    </w:p>
    <w:p w:rsidR="005B2A17" w:rsidRPr="005B2A17" w:rsidRDefault="005B2A17" w:rsidP="005B2A17">
      <w:pPr>
        <w:jc w:val="both"/>
        <w:rPr>
          <w:rFonts w:ascii="Verdana" w:hAnsi="Verdana"/>
          <w:sz w:val="20"/>
        </w:rPr>
      </w:pPr>
      <w:r w:rsidRPr="005B2A17">
        <w:rPr>
          <w:rFonts w:ascii="Verdana" w:hAnsi="Verdana"/>
          <w:b/>
          <w:bCs/>
          <w:sz w:val="20"/>
        </w:rPr>
        <w:t>CAPÍTULO 1</w:t>
      </w:r>
    </w:p>
    <w:p w:rsidR="005B2A17" w:rsidRPr="005B2A17" w:rsidRDefault="005B2A17" w:rsidP="005B2A17">
      <w:pPr>
        <w:jc w:val="both"/>
        <w:rPr>
          <w:rFonts w:ascii="Verdana" w:hAnsi="Verdana"/>
          <w:sz w:val="20"/>
        </w:rPr>
      </w:pPr>
      <w:r w:rsidRPr="005B2A17">
        <w:rPr>
          <w:rFonts w:ascii="Verdana" w:hAnsi="Verdana"/>
          <w:b/>
          <w:bCs/>
          <w:sz w:val="20"/>
        </w:rPr>
        <w:t>Introducción</w:t>
      </w:r>
    </w:p>
    <w:p w:rsidR="005B2A17" w:rsidRPr="005B2A17" w:rsidRDefault="005B2A17" w:rsidP="005B2A17">
      <w:pPr>
        <w:jc w:val="both"/>
        <w:rPr>
          <w:rFonts w:ascii="Verdana" w:hAnsi="Verdana"/>
          <w:sz w:val="20"/>
        </w:rPr>
      </w:pPr>
      <w:r w:rsidRPr="005B2A17">
        <w:rPr>
          <w:rFonts w:ascii="Verdana" w:hAnsi="Verdana"/>
          <w:b/>
          <w:bCs/>
          <w:sz w:val="20"/>
        </w:rPr>
        <w:t>1.1</w:t>
      </w:r>
      <w:r w:rsidRPr="005B2A17">
        <w:rPr>
          <w:rFonts w:ascii="Verdana" w:hAnsi="Verdana"/>
          <w:sz w:val="20"/>
        </w:rPr>
        <w:t>      </w:t>
      </w:r>
      <w:r w:rsidRPr="005B2A17">
        <w:rPr>
          <w:rFonts w:ascii="Verdana" w:hAnsi="Verdana"/>
          <w:b/>
          <w:bCs/>
          <w:sz w:val="20"/>
        </w:rPr>
        <w:t>Propósito de los Manuales de Prácticas del Mercado</w:t>
      </w:r>
    </w:p>
    <w:p w:rsidR="005B2A17" w:rsidRPr="005B2A17" w:rsidRDefault="005B2A17" w:rsidP="005B2A17">
      <w:pPr>
        <w:jc w:val="both"/>
        <w:rPr>
          <w:rFonts w:ascii="Verdana" w:hAnsi="Verdana"/>
          <w:sz w:val="20"/>
        </w:rPr>
      </w:pPr>
      <w:r w:rsidRPr="005B2A17">
        <w:rPr>
          <w:rFonts w:ascii="Verdana" w:hAnsi="Verdana"/>
          <w:b/>
          <w:bCs/>
          <w:sz w:val="20"/>
        </w:rPr>
        <w:t>1.1.1</w:t>
      </w:r>
      <w:r w:rsidRPr="005B2A17">
        <w:rPr>
          <w:rFonts w:ascii="Verdana" w:hAnsi="Verdana"/>
          <w:sz w:val="20"/>
        </w:rPr>
        <w:t>   Las Reglas del Mercado que rigen al Mercado Eléctrico Mayorista se integran por las Bases del Mercado y las Disposiciones Operativas del Mercado.</w:t>
      </w:r>
    </w:p>
    <w:p w:rsidR="005B2A17" w:rsidRPr="005B2A17" w:rsidRDefault="005B2A17" w:rsidP="005B2A17">
      <w:pPr>
        <w:jc w:val="both"/>
        <w:rPr>
          <w:rFonts w:ascii="Verdana" w:hAnsi="Verdana"/>
          <w:sz w:val="20"/>
        </w:rPr>
      </w:pPr>
      <w:r w:rsidRPr="005B2A17">
        <w:rPr>
          <w:rFonts w:ascii="Verdana" w:hAnsi="Verdana"/>
          <w:b/>
          <w:bCs/>
          <w:sz w:val="20"/>
        </w:rPr>
        <w:t>1.1.2</w:t>
      </w:r>
      <w:r w:rsidRPr="005B2A17">
        <w:rPr>
          <w:rFonts w:ascii="Verdana" w:hAnsi="Verdana"/>
          <w:sz w:val="20"/>
        </w:rPr>
        <w:t>   Los Manuales de Prácticas del Mercado forman parte de las Disposiciones Operativas del Mercado y tienen por objeto desarrollar con mayor detalle los elementos de las Bases del Mercado Eléctrico y establecer los procedimientos, reglas, instrucciones, principios de cálculo, directrices y ejemplos a seguir para la administración, operación y planeación del Mercado Eléctrico Mayorista.</w:t>
      </w:r>
    </w:p>
    <w:p w:rsidR="005B2A17" w:rsidRPr="005B2A17" w:rsidRDefault="005B2A17" w:rsidP="005B2A17">
      <w:pPr>
        <w:jc w:val="both"/>
        <w:rPr>
          <w:rFonts w:ascii="Verdana" w:hAnsi="Verdana"/>
          <w:sz w:val="20"/>
        </w:rPr>
      </w:pPr>
      <w:r w:rsidRPr="005B2A17">
        <w:rPr>
          <w:rFonts w:ascii="Verdana" w:hAnsi="Verdana"/>
          <w:b/>
          <w:bCs/>
          <w:sz w:val="20"/>
        </w:rPr>
        <w:t>1.2</w:t>
      </w:r>
      <w:r w:rsidRPr="005B2A17">
        <w:rPr>
          <w:rFonts w:ascii="Verdana" w:hAnsi="Verdana"/>
          <w:sz w:val="20"/>
        </w:rPr>
        <w:t>      </w:t>
      </w:r>
      <w:r w:rsidRPr="005B2A17">
        <w:rPr>
          <w:rFonts w:ascii="Verdana" w:hAnsi="Verdana"/>
          <w:b/>
          <w:bCs/>
          <w:sz w:val="20"/>
        </w:rPr>
        <w:t>Propósito y contenido de este Manual</w:t>
      </w:r>
    </w:p>
    <w:p w:rsidR="005B2A17" w:rsidRPr="005B2A17" w:rsidRDefault="005B2A17" w:rsidP="005B2A17">
      <w:pPr>
        <w:jc w:val="both"/>
        <w:rPr>
          <w:rFonts w:ascii="Verdana" w:hAnsi="Verdana"/>
          <w:sz w:val="20"/>
        </w:rPr>
      </w:pPr>
      <w:r w:rsidRPr="005B2A17">
        <w:rPr>
          <w:rFonts w:ascii="Verdana" w:hAnsi="Verdana"/>
          <w:b/>
          <w:bCs/>
          <w:sz w:val="20"/>
        </w:rPr>
        <w:t>1.2.1</w:t>
      </w:r>
      <w:r w:rsidRPr="005B2A17">
        <w:rPr>
          <w:rFonts w:ascii="Verdana" w:hAnsi="Verdana"/>
          <w:sz w:val="20"/>
        </w:rPr>
        <w:t>   El presente "Manual de Importaciones y Exportaciones" es el Manual de Prácticas de Mercado que establece los lineamientos y actividades que deberán observar los Participantes del Mercado para la importación y exportación de energía eléctrica al Sistema Eléctrico Nacional a través del Mercado Eléctrico Mayorista, así mismo, menciona los derechos y obligaciones de los Participantes del Mercado establecidas en las Reglas del Mercado y demás disposiciones operativas del Mercado Eléctrico Mayorista.</w:t>
      </w:r>
    </w:p>
    <w:p w:rsidR="005B2A17" w:rsidRPr="005B2A17" w:rsidRDefault="005B2A17" w:rsidP="005B2A17">
      <w:pPr>
        <w:jc w:val="both"/>
        <w:rPr>
          <w:rFonts w:ascii="Verdana" w:hAnsi="Verdana"/>
          <w:sz w:val="20"/>
        </w:rPr>
      </w:pPr>
      <w:r w:rsidRPr="005B2A17">
        <w:rPr>
          <w:rFonts w:ascii="Verdana" w:hAnsi="Verdana"/>
          <w:b/>
          <w:bCs/>
          <w:sz w:val="20"/>
        </w:rPr>
        <w:t>1.2.2</w:t>
      </w:r>
      <w:r w:rsidRPr="005B2A17">
        <w:rPr>
          <w:rFonts w:ascii="Verdana" w:hAnsi="Verdana"/>
          <w:sz w:val="20"/>
        </w:rPr>
        <w:t>   Este documento es de aplicación para los Participantes del Mercado que requieran realizar transacciones comerciales de importación y exportación de energía eléctrica al Mercado Eléctrico Mayorista por los Enlaces de Interconexión con los Sistemas Eléctricos Vecinos, así como para las importaciones y exportaciones de energía eléctrica que el CENACE requiera realizar por Confiabilidad y/o emergencia del Sistema Eléctrico Nacional.</w:t>
      </w:r>
    </w:p>
    <w:p w:rsidR="005B2A17" w:rsidRPr="005B2A17" w:rsidRDefault="005B2A17" w:rsidP="005B2A17">
      <w:pPr>
        <w:jc w:val="both"/>
        <w:rPr>
          <w:rFonts w:ascii="Verdana" w:hAnsi="Verdana"/>
          <w:sz w:val="20"/>
        </w:rPr>
      </w:pPr>
      <w:r w:rsidRPr="005B2A17">
        <w:rPr>
          <w:rFonts w:ascii="Verdana" w:hAnsi="Verdana"/>
          <w:b/>
          <w:bCs/>
          <w:sz w:val="20"/>
        </w:rPr>
        <w:t>1.2.3</w:t>
      </w:r>
      <w:r w:rsidRPr="005B2A17">
        <w:rPr>
          <w:rFonts w:ascii="Verdana" w:hAnsi="Verdana"/>
          <w:sz w:val="20"/>
        </w:rPr>
        <w:t>   Los anexos, tablas y cualquier otra condición operativa incluidos en este Manual, se publicarán y se actualizarán oficialmente en el Sistema de Información del Mercado del CENACE.</w:t>
      </w:r>
    </w:p>
    <w:p w:rsidR="005B2A17" w:rsidRPr="005B2A17" w:rsidRDefault="005B2A17" w:rsidP="005B2A17">
      <w:pPr>
        <w:jc w:val="both"/>
        <w:rPr>
          <w:rFonts w:ascii="Verdana" w:hAnsi="Verdana"/>
          <w:sz w:val="20"/>
        </w:rPr>
      </w:pPr>
      <w:r w:rsidRPr="005B2A17">
        <w:rPr>
          <w:rFonts w:ascii="Verdana" w:hAnsi="Verdana"/>
          <w:b/>
          <w:bCs/>
          <w:sz w:val="20"/>
        </w:rPr>
        <w:t>1.3</w:t>
      </w:r>
      <w:r w:rsidRPr="005B2A17">
        <w:rPr>
          <w:rFonts w:ascii="Verdana" w:hAnsi="Verdana"/>
          <w:sz w:val="20"/>
        </w:rPr>
        <w:t>      </w:t>
      </w:r>
      <w:r w:rsidRPr="005B2A17">
        <w:rPr>
          <w:rFonts w:ascii="Verdana" w:hAnsi="Verdana"/>
          <w:b/>
          <w:bCs/>
          <w:sz w:val="20"/>
        </w:rPr>
        <w:t>Términos definidos</w:t>
      </w:r>
    </w:p>
    <w:p w:rsidR="005B2A17" w:rsidRPr="005B2A17" w:rsidRDefault="005B2A17" w:rsidP="005B2A17">
      <w:pPr>
        <w:jc w:val="both"/>
        <w:rPr>
          <w:rFonts w:ascii="Verdana" w:hAnsi="Verdana"/>
          <w:sz w:val="20"/>
        </w:rPr>
      </w:pPr>
      <w:r w:rsidRPr="005B2A17">
        <w:rPr>
          <w:rFonts w:ascii="Verdana" w:hAnsi="Verdana"/>
          <w:sz w:val="20"/>
        </w:rPr>
        <w:t>Para efectos del presente Manual, además de las definiciones contenidas en el artículo 3 la Ley de la Industria Eléctrica, el artículo 2 de su Reglamento y las Bases del Mercado Eléctrico, se entenderá por:</w:t>
      </w:r>
    </w:p>
    <w:p w:rsidR="005B2A17" w:rsidRPr="005B2A17" w:rsidRDefault="005B2A17" w:rsidP="005B2A17">
      <w:pPr>
        <w:jc w:val="both"/>
        <w:rPr>
          <w:rFonts w:ascii="Verdana" w:hAnsi="Verdana"/>
          <w:sz w:val="20"/>
        </w:rPr>
      </w:pPr>
      <w:r w:rsidRPr="005B2A17">
        <w:rPr>
          <w:rFonts w:ascii="Verdana" w:hAnsi="Verdana"/>
          <w:b/>
          <w:bCs/>
          <w:sz w:val="20"/>
        </w:rPr>
        <w:t>1.3.1</w:t>
      </w:r>
      <w:r w:rsidRPr="005B2A17">
        <w:rPr>
          <w:rFonts w:ascii="Verdana" w:hAnsi="Verdana"/>
          <w:sz w:val="20"/>
        </w:rPr>
        <w:t>   </w:t>
      </w:r>
      <w:r w:rsidRPr="005B2A17">
        <w:rPr>
          <w:rFonts w:ascii="Verdana" w:hAnsi="Verdana"/>
          <w:b/>
          <w:bCs/>
          <w:sz w:val="20"/>
        </w:rPr>
        <w:t>AMM: </w:t>
      </w:r>
      <w:r w:rsidRPr="005B2A17">
        <w:rPr>
          <w:rFonts w:ascii="Verdana" w:hAnsi="Verdana"/>
          <w:sz w:val="20"/>
        </w:rPr>
        <w:t>Administrador del Mercado Mayorista de Electricidad de Guatemala. Operador del Sistema y de Mercado Eléctrico de Guatemala.</w:t>
      </w:r>
    </w:p>
    <w:p w:rsidR="005B2A17" w:rsidRPr="005B2A17" w:rsidRDefault="005B2A17" w:rsidP="005B2A17">
      <w:pPr>
        <w:jc w:val="both"/>
        <w:rPr>
          <w:rFonts w:ascii="Verdana" w:hAnsi="Verdana"/>
          <w:sz w:val="20"/>
        </w:rPr>
      </w:pPr>
      <w:r w:rsidRPr="005B2A17">
        <w:rPr>
          <w:rFonts w:ascii="Verdana" w:hAnsi="Verdana"/>
          <w:b/>
          <w:bCs/>
          <w:sz w:val="20"/>
        </w:rPr>
        <w:lastRenderedPageBreak/>
        <w:t>1.3.2</w:t>
      </w:r>
      <w:r w:rsidRPr="005B2A17">
        <w:rPr>
          <w:rFonts w:ascii="Verdana" w:hAnsi="Verdana"/>
          <w:sz w:val="20"/>
        </w:rPr>
        <w:t>   </w:t>
      </w:r>
      <w:r w:rsidRPr="005B2A17">
        <w:rPr>
          <w:rFonts w:ascii="Verdana" w:hAnsi="Verdana"/>
          <w:b/>
          <w:bCs/>
          <w:sz w:val="20"/>
        </w:rPr>
        <w:t>BEL: </w:t>
      </w:r>
      <w:proofErr w:type="spellStart"/>
      <w:r w:rsidRPr="005B2A17">
        <w:rPr>
          <w:rFonts w:ascii="Verdana" w:hAnsi="Verdana"/>
          <w:sz w:val="20"/>
        </w:rPr>
        <w:t>Belize</w:t>
      </w:r>
      <w:proofErr w:type="spellEnd"/>
      <w:r w:rsidRPr="005B2A17">
        <w:rPr>
          <w:rFonts w:ascii="Verdana" w:hAnsi="Verdana"/>
          <w:sz w:val="20"/>
        </w:rPr>
        <w:t xml:space="preserve"> </w:t>
      </w:r>
      <w:proofErr w:type="spellStart"/>
      <w:r w:rsidRPr="005B2A17">
        <w:rPr>
          <w:rFonts w:ascii="Verdana" w:hAnsi="Verdana"/>
          <w:sz w:val="20"/>
        </w:rPr>
        <w:t>Electricity</w:t>
      </w:r>
      <w:proofErr w:type="spellEnd"/>
      <w:r w:rsidRPr="005B2A17">
        <w:rPr>
          <w:rFonts w:ascii="Verdana" w:hAnsi="Verdana"/>
          <w:sz w:val="20"/>
        </w:rPr>
        <w:t xml:space="preserve"> </w:t>
      </w:r>
      <w:proofErr w:type="spellStart"/>
      <w:r w:rsidRPr="005B2A17">
        <w:rPr>
          <w:rFonts w:ascii="Verdana" w:hAnsi="Verdana"/>
          <w:sz w:val="20"/>
        </w:rPr>
        <w:t>Limited</w:t>
      </w:r>
      <w:proofErr w:type="spellEnd"/>
      <w:r w:rsidRPr="005B2A17">
        <w:rPr>
          <w:rFonts w:ascii="Verdana" w:hAnsi="Verdana"/>
          <w:sz w:val="20"/>
        </w:rPr>
        <w:t>. Operador del Sistema y de Mercado Eléctrico de Belice.</w:t>
      </w:r>
    </w:p>
    <w:p w:rsidR="005B2A17" w:rsidRPr="005B2A17" w:rsidRDefault="005B2A17" w:rsidP="005B2A17">
      <w:pPr>
        <w:jc w:val="both"/>
        <w:rPr>
          <w:rFonts w:ascii="Verdana" w:hAnsi="Verdana"/>
          <w:sz w:val="20"/>
        </w:rPr>
      </w:pPr>
      <w:r w:rsidRPr="005B2A17">
        <w:rPr>
          <w:rFonts w:ascii="Verdana" w:hAnsi="Verdana"/>
          <w:b/>
          <w:bCs/>
          <w:sz w:val="20"/>
        </w:rPr>
        <w:t>1.3.3</w:t>
      </w:r>
      <w:r w:rsidRPr="005B2A17">
        <w:rPr>
          <w:rFonts w:ascii="Verdana" w:hAnsi="Verdana"/>
          <w:sz w:val="20"/>
        </w:rPr>
        <w:t>   </w:t>
      </w:r>
      <w:r w:rsidRPr="005B2A17">
        <w:rPr>
          <w:rFonts w:ascii="Verdana" w:hAnsi="Verdana"/>
          <w:b/>
          <w:bCs/>
          <w:sz w:val="20"/>
        </w:rPr>
        <w:t>CAISO: </w:t>
      </w:r>
      <w:r w:rsidRPr="005B2A17">
        <w:rPr>
          <w:rFonts w:ascii="Verdana" w:hAnsi="Verdana"/>
          <w:sz w:val="20"/>
        </w:rPr>
        <w:t xml:space="preserve">California </w:t>
      </w:r>
      <w:proofErr w:type="spellStart"/>
      <w:r w:rsidRPr="005B2A17">
        <w:rPr>
          <w:rFonts w:ascii="Verdana" w:hAnsi="Verdana"/>
          <w:sz w:val="20"/>
        </w:rPr>
        <w:t>Independent</w:t>
      </w:r>
      <w:proofErr w:type="spellEnd"/>
      <w:r w:rsidRPr="005B2A17">
        <w:rPr>
          <w:rFonts w:ascii="Verdana" w:hAnsi="Verdana"/>
          <w:sz w:val="20"/>
        </w:rPr>
        <w:t xml:space="preserve"> </w:t>
      </w:r>
      <w:proofErr w:type="spellStart"/>
      <w:r w:rsidRPr="005B2A17">
        <w:rPr>
          <w:rFonts w:ascii="Verdana" w:hAnsi="Verdana"/>
          <w:sz w:val="20"/>
        </w:rPr>
        <w:t>System</w:t>
      </w:r>
      <w:proofErr w:type="spellEnd"/>
      <w:r w:rsidRPr="005B2A17">
        <w:rPr>
          <w:rFonts w:ascii="Verdana" w:hAnsi="Verdana"/>
          <w:sz w:val="20"/>
        </w:rPr>
        <w:t xml:space="preserve"> </w:t>
      </w:r>
      <w:proofErr w:type="spellStart"/>
      <w:r w:rsidRPr="005B2A17">
        <w:rPr>
          <w:rFonts w:ascii="Verdana" w:hAnsi="Verdana"/>
          <w:sz w:val="20"/>
        </w:rPr>
        <w:t>Operator</w:t>
      </w:r>
      <w:proofErr w:type="spellEnd"/>
      <w:r w:rsidRPr="005B2A17">
        <w:rPr>
          <w:rFonts w:ascii="Verdana" w:hAnsi="Verdana"/>
          <w:b/>
          <w:bCs/>
          <w:sz w:val="20"/>
        </w:rPr>
        <w:t>. </w:t>
      </w:r>
      <w:r w:rsidRPr="005B2A17">
        <w:rPr>
          <w:rFonts w:ascii="Verdana" w:hAnsi="Verdana"/>
          <w:sz w:val="20"/>
        </w:rPr>
        <w:t>Operador Independiente del Sistema Eléctrico y Operador del Mercado Eléctrico de California, EUA.</w:t>
      </w:r>
    </w:p>
    <w:p w:rsidR="005B2A17" w:rsidRPr="005B2A17" w:rsidRDefault="005B2A17" w:rsidP="005B2A17">
      <w:pPr>
        <w:jc w:val="both"/>
        <w:rPr>
          <w:rFonts w:ascii="Verdana" w:hAnsi="Verdana"/>
          <w:sz w:val="20"/>
        </w:rPr>
      </w:pPr>
      <w:r w:rsidRPr="005B2A17">
        <w:rPr>
          <w:rFonts w:ascii="Verdana" w:hAnsi="Verdana"/>
          <w:b/>
          <w:bCs/>
          <w:sz w:val="20"/>
        </w:rPr>
        <w:t>1.3.4</w:t>
      </w:r>
      <w:r w:rsidRPr="005B2A17">
        <w:rPr>
          <w:rFonts w:ascii="Verdana" w:hAnsi="Verdana"/>
          <w:sz w:val="20"/>
        </w:rPr>
        <w:t>   </w:t>
      </w:r>
      <w:r w:rsidRPr="005B2A17">
        <w:rPr>
          <w:rFonts w:ascii="Verdana" w:hAnsi="Verdana"/>
          <w:b/>
          <w:bCs/>
          <w:sz w:val="20"/>
        </w:rPr>
        <w:t>Capacidad Total de Transferencia (CTT):</w:t>
      </w:r>
      <w:r w:rsidRPr="005B2A17">
        <w:rPr>
          <w:rFonts w:ascii="Verdana" w:hAnsi="Verdana"/>
          <w:sz w:val="20"/>
        </w:rPr>
        <w:t xml:space="preserve"> Cantidad máxima de energía eléctrica que puede ser transferida de forma confiable por los enlaces de transmisión entre áreas del Sistema Eléctrico Nacional o por los Enlaces de Interconexión del Sistema Eléctrico Nacional y Sistemas Eléctricos Vecinos, bajo condiciones específicas definidas. La Capacidad Total de Transferencia puede estar limitada por las características físicas y eléctricas de la red de transmisión, incluyendo límites térmicos y operativos. Equiparable al concepto de "Total Transfer </w:t>
      </w:r>
      <w:proofErr w:type="spellStart"/>
      <w:r w:rsidRPr="005B2A17">
        <w:rPr>
          <w:rFonts w:ascii="Verdana" w:hAnsi="Verdana"/>
          <w:sz w:val="20"/>
        </w:rPr>
        <w:t>Capacity</w:t>
      </w:r>
      <w:proofErr w:type="spellEnd"/>
      <w:r w:rsidRPr="005B2A17">
        <w:rPr>
          <w:rFonts w:ascii="Verdana" w:hAnsi="Verdana"/>
          <w:sz w:val="20"/>
        </w:rPr>
        <w:t>" (TTC por sus siglas </w:t>
      </w:r>
      <w:proofErr w:type="spellStart"/>
      <w:r w:rsidRPr="005B2A17">
        <w:rPr>
          <w:rFonts w:ascii="Verdana" w:hAnsi="Verdana"/>
          <w:sz w:val="20"/>
        </w:rPr>
        <w:t>eninglés</w:t>
      </w:r>
      <w:proofErr w:type="spellEnd"/>
      <w:r w:rsidRPr="005B2A17">
        <w:rPr>
          <w:rFonts w:ascii="Verdana" w:hAnsi="Verdana"/>
          <w:sz w:val="20"/>
        </w:rPr>
        <w:t>).</w:t>
      </w:r>
    </w:p>
    <w:p w:rsidR="005B2A17" w:rsidRPr="005B2A17" w:rsidRDefault="005B2A17" w:rsidP="005B2A17">
      <w:pPr>
        <w:jc w:val="both"/>
        <w:rPr>
          <w:rFonts w:ascii="Verdana" w:hAnsi="Verdana"/>
          <w:sz w:val="20"/>
        </w:rPr>
      </w:pPr>
      <w:r w:rsidRPr="005B2A17">
        <w:rPr>
          <w:rFonts w:ascii="Verdana" w:hAnsi="Verdana"/>
          <w:b/>
          <w:bCs/>
          <w:sz w:val="20"/>
        </w:rPr>
        <w:t>1.3.5</w:t>
      </w:r>
      <w:r w:rsidRPr="005B2A17">
        <w:rPr>
          <w:rFonts w:ascii="Verdana" w:hAnsi="Verdana"/>
          <w:sz w:val="20"/>
        </w:rPr>
        <w:t>   </w:t>
      </w:r>
      <w:r w:rsidRPr="005B2A17">
        <w:rPr>
          <w:rFonts w:ascii="Verdana" w:hAnsi="Verdana"/>
          <w:b/>
          <w:bCs/>
          <w:sz w:val="20"/>
        </w:rPr>
        <w:t>Capacidad Absoluta de Transferencia Disponible:</w:t>
      </w:r>
      <w:r w:rsidRPr="005B2A17">
        <w:rPr>
          <w:rFonts w:ascii="Verdana" w:hAnsi="Verdana"/>
          <w:sz w:val="20"/>
        </w:rPr>
        <w:t> Es la capacidad total de transferencia que está disponible en los Enlaces de Interconexión para intercambios de energía entre sistemas eléctricos y que resulta ser la cantidad menor entre la Capacidad de Transferencia Disponible calculada por el CENACE y la Capacidad de Transferencia Disponible del enlace de interconexión calculada por el operador del Sistema Eléctrico Vecino.</w:t>
      </w:r>
    </w:p>
    <w:p w:rsidR="005B2A17" w:rsidRPr="005B2A17" w:rsidRDefault="005B2A17" w:rsidP="005B2A17">
      <w:pPr>
        <w:jc w:val="both"/>
        <w:rPr>
          <w:rFonts w:ascii="Verdana" w:hAnsi="Verdana"/>
          <w:sz w:val="20"/>
        </w:rPr>
      </w:pPr>
      <w:r w:rsidRPr="005B2A17">
        <w:rPr>
          <w:rFonts w:ascii="Verdana" w:hAnsi="Verdana"/>
          <w:b/>
          <w:bCs/>
          <w:sz w:val="20"/>
        </w:rPr>
        <w:t>1.3.6</w:t>
      </w:r>
      <w:r w:rsidRPr="005B2A17">
        <w:rPr>
          <w:rFonts w:ascii="Verdana" w:hAnsi="Verdana"/>
          <w:sz w:val="20"/>
        </w:rPr>
        <w:t>   </w:t>
      </w:r>
      <w:r w:rsidRPr="005B2A17">
        <w:rPr>
          <w:rFonts w:ascii="Verdana" w:hAnsi="Verdana"/>
          <w:b/>
          <w:bCs/>
          <w:sz w:val="20"/>
        </w:rPr>
        <w:t>Capacidad de Transferencia Disponible (CTD):</w:t>
      </w:r>
      <w:r w:rsidRPr="005B2A17">
        <w:rPr>
          <w:rFonts w:ascii="Verdana" w:hAnsi="Verdana"/>
          <w:sz w:val="20"/>
        </w:rPr>
        <w:t> Es una medida de la capacidad de transferencia remanente en la red de transmisión para posibles transacciones comerciales y es igual a la</w:t>
      </w:r>
    </w:p>
    <w:p w:rsidR="005B2A17" w:rsidRPr="005B2A17" w:rsidRDefault="005B2A17" w:rsidP="005B2A17">
      <w:pPr>
        <w:jc w:val="both"/>
        <w:rPr>
          <w:rFonts w:ascii="Verdana" w:hAnsi="Verdana"/>
          <w:sz w:val="20"/>
        </w:rPr>
      </w:pPr>
      <w:r w:rsidRPr="005B2A17">
        <w:rPr>
          <w:rFonts w:ascii="Verdana" w:hAnsi="Verdana"/>
          <w:sz w:val="20"/>
        </w:rPr>
        <w:t>Capacidad Total de Transferencia menos el Margen de Confiabilidad de Transmisión Equiparable al concepto de "</w:t>
      </w:r>
      <w:proofErr w:type="spellStart"/>
      <w:r w:rsidRPr="005B2A17">
        <w:rPr>
          <w:rFonts w:ascii="Verdana" w:hAnsi="Verdana"/>
          <w:sz w:val="20"/>
        </w:rPr>
        <w:t>Available</w:t>
      </w:r>
      <w:proofErr w:type="spellEnd"/>
      <w:r w:rsidRPr="005B2A17">
        <w:rPr>
          <w:rFonts w:ascii="Verdana" w:hAnsi="Verdana"/>
          <w:sz w:val="20"/>
        </w:rPr>
        <w:t xml:space="preserve"> Transfer </w:t>
      </w:r>
      <w:proofErr w:type="spellStart"/>
      <w:r w:rsidRPr="005B2A17">
        <w:rPr>
          <w:rFonts w:ascii="Verdana" w:hAnsi="Verdana"/>
          <w:sz w:val="20"/>
        </w:rPr>
        <w:t>Capacity</w:t>
      </w:r>
      <w:proofErr w:type="spellEnd"/>
      <w:r w:rsidRPr="005B2A17">
        <w:rPr>
          <w:rFonts w:ascii="Verdana" w:hAnsi="Verdana"/>
          <w:sz w:val="20"/>
        </w:rPr>
        <w:t>" (ATC por sus siglas en inglés).</w:t>
      </w:r>
    </w:p>
    <w:p w:rsidR="005B2A17" w:rsidRPr="005B2A17" w:rsidRDefault="005B2A17" w:rsidP="005B2A17">
      <w:pPr>
        <w:jc w:val="both"/>
        <w:rPr>
          <w:rFonts w:ascii="Verdana" w:hAnsi="Verdana"/>
          <w:sz w:val="20"/>
        </w:rPr>
      </w:pPr>
      <w:r w:rsidRPr="005B2A17">
        <w:rPr>
          <w:rFonts w:ascii="Verdana" w:hAnsi="Verdana"/>
          <w:b/>
          <w:bCs/>
          <w:sz w:val="20"/>
        </w:rPr>
        <w:t>1.3.7</w:t>
      </w:r>
      <w:r w:rsidRPr="005B2A17">
        <w:rPr>
          <w:rFonts w:ascii="Verdana" w:hAnsi="Verdana"/>
          <w:sz w:val="20"/>
        </w:rPr>
        <w:t>    </w:t>
      </w:r>
      <w:r w:rsidRPr="005B2A17">
        <w:rPr>
          <w:rFonts w:ascii="Verdana" w:hAnsi="Verdana"/>
          <w:b/>
          <w:bCs/>
          <w:sz w:val="20"/>
        </w:rPr>
        <w:t>Coordinador de Confiabilidad: </w:t>
      </w:r>
      <w:r w:rsidRPr="005B2A17">
        <w:rPr>
          <w:rFonts w:ascii="Verdana" w:hAnsi="Verdana"/>
          <w:sz w:val="20"/>
        </w:rPr>
        <w:t>Organización del Oeste de Estados Unidos encargado de proveer conciencia situacional y monitorear en tiempo real la confiabilidad de la interconexión, esta organización interactúa exclusivamente con el Sistema Eléctrico de Baja California. Este concepto puede aplicar para otros Sistemas de tiempo en tiempo.</w:t>
      </w:r>
    </w:p>
    <w:p w:rsidR="005B2A17" w:rsidRPr="005B2A17" w:rsidRDefault="005B2A17" w:rsidP="005B2A17">
      <w:pPr>
        <w:jc w:val="both"/>
        <w:rPr>
          <w:rFonts w:ascii="Verdana" w:hAnsi="Verdana"/>
          <w:sz w:val="20"/>
        </w:rPr>
      </w:pPr>
      <w:r w:rsidRPr="005B2A17">
        <w:rPr>
          <w:rFonts w:ascii="Verdana" w:hAnsi="Verdana"/>
          <w:b/>
          <w:bCs/>
          <w:sz w:val="20"/>
        </w:rPr>
        <w:t>1.3.8</w:t>
      </w:r>
      <w:r w:rsidRPr="005B2A17">
        <w:rPr>
          <w:rFonts w:ascii="Verdana" w:hAnsi="Verdana"/>
          <w:sz w:val="20"/>
        </w:rPr>
        <w:t>    </w:t>
      </w:r>
      <w:r w:rsidRPr="005B2A17">
        <w:rPr>
          <w:rFonts w:ascii="Verdana" w:hAnsi="Verdana"/>
          <w:b/>
          <w:bCs/>
          <w:sz w:val="20"/>
        </w:rPr>
        <w:t>Enlaces de Interconexión: </w:t>
      </w:r>
      <w:r w:rsidRPr="005B2A17">
        <w:rPr>
          <w:rFonts w:ascii="Verdana" w:hAnsi="Verdana"/>
          <w:sz w:val="20"/>
        </w:rPr>
        <w:t>Líneas de transmisión que interconectan al Sistema Eléctrico Nacional con los Sistemas Eléctricos Vecinos ya sea en forma síncrona o asíncrona, o líneas de transmisión que interconectan al Sistema Eléctrico Nacional a Centrales Eléctricas y Centros de Carga en el extranjero que se encuentran aisladas de otro sistema eléctrico.</w:t>
      </w:r>
    </w:p>
    <w:p w:rsidR="005B2A17" w:rsidRPr="005B2A17" w:rsidRDefault="005B2A17" w:rsidP="005B2A17">
      <w:pPr>
        <w:jc w:val="both"/>
        <w:rPr>
          <w:rFonts w:ascii="Verdana" w:hAnsi="Verdana"/>
          <w:sz w:val="20"/>
        </w:rPr>
      </w:pPr>
      <w:r w:rsidRPr="005B2A17">
        <w:rPr>
          <w:rFonts w:ascii="Verdana" w:hAnsi="Verdana"/>
          <w:b/>
          <w:bCs/>
          <w:sz w:val="20"/>
        </w:rPr>
        <w:t>1.3.9</w:t>
      </w:r>
      <w:r w:rsidRPr="005B2A17">
        <w:rPr>
          <w:rFonts w:ascii="Verdana" w:hAnsi="Verdana"/>
          <w:sz w:val="20"/>
        </w:rPr>
        <w:t>    </w:t>
      </w:r>
      <w:r w:rsidRPr="005B2A17">
        <w:rPr>
          <w:rFonts w:ascii="Verdana" w:hAnsi="Verdana"/>
          <w:b/>
          <w:bCs/>
          <w:sz w:val="20"/>
        </w:rPr>
        <w:t>Enlaces para Abasto Aislado: </w:t>
      </w:r>
      <w:r w:rsidRPr="005B2A17">
        <w:rPr>
          <w:rFonts w:ascii="Verdana" w:hAnsi="Verdana"/>
          <w:sz w:val="20"/>
        </w:rPr>
        <w:t>Líneas de transmisión transfronterizas utilizadas para Abasto Aislado por las Centrales Eléctricas y Centros de Carga no conectadas al Sistema Eléctrico Nacional.</w:t>
      </w:r>
    </w:p>
    <w:p w:rsidR="005B2A17" w:rsidRPr="005B2A17" w:rsidRDefault="005B2A17" w:rsidP="005B2A17">
      <w:pPr>
        <w:jc w:val="both"/>
        <w:rPr>
          <w:rFonts w:ascii="Verdana" w:hAnsi="Verdana"/>
          <w:sz w:val="20"/>
        </w:rPr>
      </w:pPr>
      <w:r w:rsidRPr="005B2A17">
        <w:rPr>
          <w:rFonts w:ascii="Verdana" w:hAnsi="Verdana"/>
          <w:b/>
          <w:bCs/>
          <w:sz w:val="20"/>
        </w:rPr>
        <w:t>1.3.10</w:t>
      </w:r>
      <w:r w:rsidRPr="005B2A17">
        <w:rPr>
          <w:rFonts w:ascii="Verdana" w:hAnsi="Verdana"/>
          <w:sz w:val="20"/>
        </w:rPr>
        <w:t>  </w:t>
      </w:r>
      <w:r w:rsidRPr="005B2A17">
        <w:rPr>
          <w:rFonts w:ascii="Verdana" w:hAnsi="Verdana"/>
          <w:b/>
          <w:bCs/>
          <w:sz w:val="20"/>
        </w:rPr>
        <w:t>ERCOT: </w:t>
      </w:r>
      <w:r w:rsidRPr="005B2A17">
        <w:rPr>
          <w:rFonts w:ascii="Verdana" w:hAnsi="Verdana"/>
          <w:sz w:val="20"/>
        </w:rPr>
        <w:t xml:space="preserve">Electric </w:t>
      </w:r>
      <w:proofErr w:type="spellStart"/>
      <w:r w:rsidRPr="005B2A17">
        <w:rPr>
          <w:rFonts w:ascii="Verdana" w:hAnsi="Verdana"/>
          <w:sz w:val="20"/>
        </w:rPr>
        <w:t>Reliability</w:t>
      </w:r>
      <w:proofErr w:type="spellEnd"/>
      <w:r w:rsidRPr="005B2A17">
        <w:rPr>
          <w:rFonts w:ascii="Verdana" w:hAnsi="Verdana"/>
          <w:sz w:val="20"/>
        </w:rPr>
        <w:t xml:space="preserve"> Council of Texas. Operador del Sistema Eléctrico y del Mercado de Texas, EUA.</w:t>
      </w:r>
    </w:p>
    <w:p w:rsidR="005B2A17" w:rsidRPr="005B2A17" w:rsidRDefault="005B2A17" w:rsidP="005B2A17">
      <w:pPr>
        <w:jc w:val="both"/>
        <w:rPr>
          <w:rFonts w:ascii="Verdana" w:hAnsi="Verdana"/>
          <w:sz w:val="20"/>
        </w:rPr>
      </w:pPr>
      <w:r w:rsidRPr="005B2A17">
        <w:rPr>
          <w:rFonts w:ascii="Verdana" w:hAnsi="Verdana"/>
          <w:b/>
          <w:bCs/>
          <w:sz w:val="20"/>
        </w:rPr>
        <w:lastRenderedPageBreak/>
        <w:t>1.3.11</w:t>
      </w:r>
      <w:r w:rsidRPr="005B2A17">
        <w:rPr>
          <w:rFonts w:ascii="Verdana" w:hAnsi="Verdana"/>
          <w:sz w:val="20"/>
        </w:rPr>
        <w:t>  </w:t>
      </w:r>
      <w:r w:rsidRPr="005B2A17">
        <w:rPr>
          <w:rFonts w:ascii="Verdana" w:hAnsi="Verdana"/>
          <w:b/>
          <w:bCs/>
          <w:sz w:val="20"/>
        </w:rPr>
        <w:t>Etiqueta Electrónica: </w:t>
      </w:r>
      <w:r w:rsidRPr="005B2A17">
        <w:rPr>
          <w:rFonts w:ascii="Verdana" w:hAnsi="Verdana"/>
          <w:sz w:val="20"/>
        </w:rPr>
        <w:t>Es un registro electrónico que contiene las características de una transacción de energía y que permite a los Coordinadores de Confiabilidad, operadores de sistema eléctrico y Proveedores de Transmisión evaluar los impactos de la transacción en la congestión y confiabilidad de un sistema, así como modificar las transacciones de energía cuando sea necesario por confiabilidad o Emergencia (E-</w:t>
      </w:r>
      <w:proofErr w:type="spellStart"/>
      <w:r w:rsidRPr="005B2A17">
        <w:rPr>
          <w:rFonts w:ascii="Verdana" w:hAnsi="Verdana"/>
          <w:sz w:val="20"/>
        </w:rPr>
        <w:t>tag</w:t>
      </w:r>
      <w:proofErr w:type="spellEnd"/>
      <w:r w:rsidRPr="005B2A17">
        <w:rPr>
          <w:rFonts w:ascii="Verdana" w:hAnsi="Verdana"/>
          <w:sz w:val="20"/>
        </w:rPr>
        <w:t xml:space="preserve"> por sus siglas en inglés). En los enlaces </w:t>
      </w:r>
      <w:proofErr w:type="spellStart"/>
      <w:r w:rsidRPr="005B2A17">
        <w:rPr>
          <w:rFonts w:ascii="Verdana" w:hAnsi="Verdana"/>
          <w:sz w:val="20"/>
        </w:rPr>
        <w:t>conGuatemala</w:t>
      </w:r>
      <w:proofErr w:type="spellEnd"/>
      <w:r w:rsidRPr="005B2A17">
        <w:rPr>
          <w:rFonts w:ascii="Verdana" w:hAnsi="Verdana"/>
          <w:sz w:val="20"/>
        </w:rPr>
        <w:t xml:space="preserve"> y Belice no se utilizan estas etiquetas electrónicas, en su lugar se utilizan controles acordados entre los Operadores del Sistema, a estos controles se le denominan "Equivalente" de la Etiqueta Electrónica.</w:t>
      </w:r>
    </w:p>
    <w:p w:rsidR="005B2A17" w:rsidRPr="005B2A17" w:rsidRDefault="005B2A17" w:rsidP="005B2A17">
      <w:pPr>
        <w:jc w:val="both"/>
        <w:rPr>
          <w:rFonts w:ascii="Verdana" w:hAnsi="Verdana"/>
          <w:sz w:val="20"/>
        </w:rPr>
      </w:pPr>
      <w:r w:rsidRPr="005B2A17">
        <w:rPr>
          <w:rFonts w:ascii="Verdana" w:hAnsi="Verdana"/>
          <w:b/>
          <w:bCs/>
          <w:sz w:val="20"/>
        </w:rPr>
        <w:t>1.3.12</w:t>
      </w:r>
      <w:r w:rsidRPr="005B2A17">
        <w:rPr>
          <w:rFonts w:ascii="Verdana" w:hAnsi="Verdana"/>
          <w:sz w:val="20"/>
        </w:rPr>
        <w:t>  </w:t>
      </w:r>
      <w:r w:rsidRPr="005B2A17">
        <w:rPr>
          <w:rFonts w:ascii="Verdana" w:hAnsi="Verdana"/>
          <w:b/>
          <w:bCs/>
          <w:sz w:val="20"/>
        </w:rPr>
        <w:t>Margen de Confiabilidad de Transmisión:</w:t>
      </w:r>
      <w:r w:rsidRPr="005B2A17">
        <w:rPr>
          <w:rFonts w:ascii="Verdana" w:hAnsi="Verdana"/>
          <w:sz w:val="20"/>
        </w:rPr>
        <w:t> La cantidad de capacidad de transmisión necesaria para dar una garantía razonable de que la red interconectada de transmisión operará con seguridad. El Margen de Confiabilidad de Transmisión toma en cuenta la incertidumbre inherente para asegurar la operación confiable del sistema eléctrico ante cambios en condiciones del sistema. Equiparable al concepto de "</w:t>
      </w:r>
      <w:proofErr w:type="spellStart"/>
      <w:r w:rsidRPr="005B2A17">
        <w:rPr>
          <w:rFonts w:ascii="Verdana" w:hAnsi="Verdana"/>
          <w:sz w:val="20"/>
        </w:rPr>
        <w:t>Transmission</w:t>
      </w:r>
      <w:proofErr w:type="spellEnd"/>
      <w:r w:rsidRPr="005B2A17">
        <w:rPr>
          <w:rFonts w:ascii="Verdana" w:hAnsi="Verdana"/>
          <w:sz w:val="20"/>
        </w:rPr>
        <w:t xml:space="preserve"> </w:t>
      </w:r>
      <w:proofErr w:type="spellStart"/>
      <w:r w:rsidRPr="005B2A17">
        <w:rPr>
          <w:rFonts w:ascii="Verdana" w:hAnsi="Verdana"/>
          <w:sz w:val="20"/>
        </w:rPr>
        <w:t>Reliability</w:t>
      </w:r>
      <w:proofErr w:type="spellEnd"/>
      <w:r w:rsidRPr="005B2A17">
        <w:rPr>
          <w:rFonts w:ascii="Verdana" w:hAnsi="Verdana"/>
          <w:sz w:val="20"/>
        </w:rPr>
        <w:t xml:space="preserve"> </w:t>
      </w:r>
      <w:proofErr w:type="spellStart"/>
      <w:r w:rsidRPr="005B2A17">
        <w:rPr>
          <w:rFonts w:ascii="Verdana" w:hAnsi="Verdana"/>
          <w:sz w:val="20"/>
        </w:rPr>
        <w:t>Margin</w:t>
      </w:r>
      <w:proofErr w:type="spellEnd"/>
      <w:r w:rsidRPr="005B2A17">
        <w:rPr>
          <w:rFonts w:ascii="Verdana" w:hAnsi="Verdana"/>
          <w:sz w:val="20"/>
        </w:rPr>
        <w:t xml:space="preserve">" (TRM por sus </w:t>
      </w:r>
      <w:proofErr w:type="spellStart"/>
      <w:r w:rsidRPr="005B2A17">
        <w:rPr>
          <w:rFonts w:ascii="Verdana" w:hAnsi="Verdana"/>
          <w:sz w:val="20"/>
        </w:rPr>
        <w:t>siglasen</w:t>
      </w:r>
      <w:proofErr w:type="spellEnd"/>
      <w:r w:rsidRPr="005B2A17">
        <w:rPr>
          <w:rFonts w:ascii="Verdana" w:hAnsi="Verdana"/>
          <w:sz w:val="20"/>
        </w:rPr>
        <w:t> inglés).</w:t>
      </w:r>
    </w:p>
    <w:p w:rsidR="005B2A17" w:rsidRPr="005B2A17" w:rsidRDefault="005B2A17" w:rsidP="005B2A17">
      <w:pPr>
        <w:jc w:val="both"/>
        <w:rPr>
          <w:rFonts w:ascii="Verdana" w:hAnsi="Verdana"/>
          <w:sz w:val="20"/>
        </w:rPr>
      </w:pPr>
      <w:r w:rsidRPr="005B2A17">
        <w:rPr>
          <w:rFonts w:ascii="Verdana" w:hAnsi="Verdana"/>
          <w:b/>
          <w:bCs/>
          <w:sz w:val="20"/>
        </w:rPr>
        <w:t>1.3.13</w:t>
      </w:r>
      <w:r w:rsidRPr="005B2A17">
        <w:rPr>
          <w:rFonts w:ascii="Verdana" w:hAnsi="Verdana"/>
          <w:sz w:val="20"/>
        </w:rPr>
        <w:t>  </w:t>
      </w:r>
      <w:r w:rsidRPr="005B2A17">
        <w:rPr>
          <w:rFonts w:ascii="Verdana" w:hAnsi="Verdana"/>
          <w:b/>
          <w:bCs/>
          <w:sz w:val="20"/>
        </w:rPr>
        <w:t>Proveedor de Transmisión: </w:t>
      </w:r>
      <w:r w:rsidRPr="005B2A17">
        <w:rPr>
          <w:rFonts w:ascii="Verdana" w:hAnsi="Verdana"/>
          <w:sz w:val="20"/>
        </w:rPr>
        <w:t>Entidad que administra el servicio y tarifa de transmisión, y define la Capacidad de Transferencia Disponible basado en la capacidad de los equipos de los propietarios de transmisión, así como aprueba o niega los requerimientos del servicio de transmisión. Este rol será administrado por el CENACE.</w:t>
      </w:r>
    </w:p>
    <w:p w:rsidR="005B2A17" w:rsidRPr="005B2A17" w:rsidRDefault="005B2A17" w:rsidP="005B2A17">
      <w:pPr>
        <w:jc w:val="both"/>
        <w:rPr>
          <w:rFonts w:ascii="Verdana" w:hAnsi="Verdana"/>
          <w:sz w:val="20"/>
        </w:rPr>
      </w:pPr>
      <w:r w:rsidRPr="005B2A17">
        <w:rPr>
          <w:rFonts w:ascii="Verdana" w:hAnsi="Verdana"/>
          <w:b/>
          <w:bCs/>
          <w:sz w:val="20"/>
        </w:rPr>
        <w:t>1.3.14</w:t>
      </w:r>
      <w:r w:rsidRPr="005B2A17">
        <w:rPr>
          <w:rFonts w:ascii="Verdana" w:hAnsi="Verdana"/>
          <w:sz w:val="20"/>
        </w:rPr>
        <w:t>  </w:t>
      </w:r>
      <w:r w:rsidRPr="005B2A17">
        <w:rPr>
          <w:rFonts w:ascii="Verdana" w:hAnsi="Verdana"/>
          <w:b/>
          <w:bCs/>
          <w:sz w:val="20"/>
        </w:rPr>
        <w:t>Sistema Eléctrico Vecino:</w:t>
      </w:r>
      <w:r w:rsidRPr="005B2A17">
        <w:rPr>
          <w:rFonts w:ascii="Verdana" w:hAnsi="Verdana"/>
          <w:sz w:val="20"/>
        </w:rPr>
        <w:t> Son los Sistemas Eléctricos de los países que tienen frontera con México y con los cuales se tiene una o más líneas de transmisión que los interconecta al Sistema Eléctrico Nacional en forma síncrona, asíncrona o en forma radial para Abasto Aislado.</w:t>
      </w:r>
    </w:p>
    <w:p w:rsidR="005B2A17" w:rsidRPr="005B2A17" w:rsidRDefault="005B2A17" w:rsidP="005B2A17">
      <w:pPr>
        <w:jc w:val="both"/>
        <w:rPr>
          <w:rFonts w:ascii="Verdana" w:hAnsi="Verdana"/>
          <w:sz w:val="20"/>
        </w:rPr>
      </w:pPr>
      <w:r w:rsidRPr="005B2A17">
        <w:rPr>
          <w:rFonts w:ascii="Verdana" w:hAnsi="Verdana"/>
          <w:b/>
          <w:bCs/>
          <w:sz w:val="20"/>
        </w:rPr>
        <w:t>1.3.15</w:t>
      </w:r>
      <w:r w:rsidRPr="005B2A17">
        <w:rPr>
          <w:rFonts w:ascii="Verdana" w:hAnsi="Verdana"/>
          <w:sz w:val="20"/>
        </w:rPr>
        <w:t>  </w:t>
      </w:r>
      <w:r w:rsidRPr="005B2A17">
        <w:rPr>
          <w:rFonts w:ascii="Verdana" w:hAnsi="Verdana"/>
          <w:b/>
          <w:bCs/>
          <w:sz w:val="20"/>
        </w:rPr>
        <w:t>WECC: </w:t>
      </w:r>
      <w:r w:rsidRPr="005B2A17">
        <w:rPr>
          <w:rFonts w:ascii="Verdana" w:hAnsi="Verdana"/>
          <w:sz w:val="20"/>
        </w:rPr>
        <w:t xml:space="preserve">Western </w:t>
      </w:r>
      <w:proofErr w:type="spellStart"/>
      <w:r w:rsidRPr="005B2A17">
        <w:rPr>
          <w:rFonts w:ascii="Verdana" w:hAnsi="Verdana"/>
          <w:sz w:val="20"/>
        </w:rPr>
        <w:t>Electricity</w:t>
      </w:r>
      <w:proofErr w:type="spellEnd"/>
      <w:r w:rsidRPr="005B2A17">
        <w:rPr>
          <w:rFonts w:ascii="Verdana" w:hAnsi="Verdana"/>
          <w:sz w:val="20"/>
        </w:rPr>
        <w:t xml:space="preserve"> </w:t>
      </w:r>
      <w:proofErr w:type="spellStart"/>
      <w:r w:rsidRPr="005B2A17">
        <w:rPr>
          <w:rFonts w:ascii="Verdana" w:hAnsi="Verdana"/>
          <w:sz w:val="20"/>
        </w:rPr>
        <w:t>Coordinating</w:t>
      </w:r>
      <w:proofErr w:type="spellEnd"/>
      <w:r w:rsidRPr="005B2A17">
        <w:rPr>
          <w:rFonts w:ascii="Verdana" w:hAnsi="Verdana"/>
          <w:sz w:val="20"/>
        </w:rPr>
        <w:t xml:space="preserve"> Council. Entidad Regional que establece y monitorea el cumplimiento de estándares de Confiabilidad para la operación del Sistema Interconectado del Oeste de los EUA.</w:t>
      </w:r>
    </w:p>
    <w:p w:rsidR="005B2A17" w:rsidRPr="005B2A17" w:rsidRDefault="005B2A17" w:rsidP="005B2A17">
      <w:pPr>
        <w:jc w:val="both"/>
        <w:rPr>
          <w:rFonts w:ascii="Verdana" w:hAnsi="Verdana"/>
          <w:sz w:val="20"/>
        </w:rPr>
      </w:pPr>
      <w:r w:rsidRPr="005B2A17">
        <w:rPr>
          <w:rFonts w:ascii="Verdana" w:hAnsi="Verdana"/>
          <w:b/>
          <w:bCs/>
          <w:sz w:val="20"/>
        </w:rPr>
        <w:t>1.4</w:t>
      </w:r>
      <w:r w:rsidRPr="005B2A17">
        <w:rPr>
          <w:rFonts w:ascii="Verdana" w:hAnsi="Verdana"/>
          <w:sz w:val="20"/>
        </w:rPr>
        <w:t>      </w:t>
      </w:r>
      <w:r w:rsidRPr="005B2A17">
        <w:rPr>
          <w:rFonts w:ascii="Verdana" w:hAnsi="Verdana"/>
          <w:b/>
          <w:bCs/>
          <w:sz w:val="20"/>
        </w:rPr>
        <w:t>Reglas de interpretación</w:t>
      </w:r>
    </w:p>
    <w:p w:rsidR="005B2A17" w:rsidRPr="005B2A17" w:rsidRDefault="005B2A17" w:rsidP="005B2A17">
      <w:pPr>
        <w:jc w:val="both"/>
        <w:rPr>
          <w:rFonts w:ascii="Verdana" w:hAnsi="Verdana"/>
          <w:sz w:val="20"/>
        </w:rPr>
      </w:pPr>
      <w:r w:rsidRPr="005B2A17">
        <w:rPr>
          <w:rFonts w:ascii="Verdana" w:hAnsi="Verdana"/>
          <w:b/>
          <w:bCs/>
          <w:sz w:val="20"/>
        </w:rPr>
        <w:t>1.4.1</w:t>
      </w:r>
      <w:r w:rsidRPr="005B2A17">
        <w:rPr>
          <w:rFonts w:ascii="Verdana" w:hAnsi="Verdana"/>
          <w:sz w:val="20"/>
        </w:rPr>
        <w:t>    Los términos definidos a que hace referencia la disposición 1.3 podrán utilizarse en plural o singular sin alterar su significado siempre y cuando el contexto así lo permita.</w:t>
      </w:r>
    </w:p>
    <w:p w:rsidR="005B2A17" w:rsidRPr="005B2A17" w:rsidRDefault="005B2A17" w:rsidP="005B2A17">
      <w:pPr>
        <w:jc w:val="both"/>
        <w:rPr>
          <w:rFonts w:ascii="Verdana" w:hAnsi="Verdana"/>
          <w:sz w:val="20"/>
        </w:rPr>
      </w:pPr>
      <w:r w:rsidRPr="005B2A17">
        <w:rPr>
          <w:rFonts w:ascii="Verdana" w:hAnsi="Verdana"/>
          <w:b/>
          <w:bCs/>
          <w:sz w:val="20"/>
        </w:rPr>
        <w:t>1.4.2</w:t>
      </w:r>
      <w:r w:rsidRPr="005B2A17">
        <w:rPr>
          <w:rFonts w:ascii="Verdana" w:hAnsi="Verdana"/>
          <w:sz w:val="20"/>
        </w:rPr>
        <w:t>    En caso de que exista alguna contradicción o inconsistencia entre lo previsto en este Manual y lo previsto en las Bases del Mercado, prevalecerá lo establecido en las Bases del Mercado.</w:t>
      </w:r>
    </w:p>
    <w:p w:rsidR="005B2A17" w:rsidRPr="005B2A17" w:rsidRDefault="005B2A17" w:rsidP="005B2A17">
      <w:pPr>
        <w:jc w:val="both"/>
        <w:rPr>
          <w:rFonts w:ascii="Verdana" w:hAnsi="Verdana"/>
          <w:sz w:val="20"/>
        </w:rPr>
      </w:pPr>
      <w:r w:rsidRPr="005B2A17">
        <w:rPr>
          <w:rFonts w:ascii="Verdana" w:hAnsi="Verdana"/>
          <w:b/>
          <w:bCs/>
          <w:sz w:val="20"/>
        </w:rPr>
        <w:t>1.4.3</w:t>
      </w:r>
      <w:r w:rsidRPr="005B2A17">
        <w:rPr>
          <w:rFonts w:ascii="Verdana" w:hAnsi="Verdana"/>
          <w:sz w:val="20"/>
        </w:rPr>
        <w:t>    Salvo que expresamente se indique otra cosa, cualquier referencia a un capítulo, sección, numeral,</w:t>
      </w:r>
    </w:p>
    <w:p w:rsidR="005B2A17" w:rsidRPr="005B2A17" w:rsidRDefault="005B2A17" w:rsidP="005B2A17">
      <w:pPr>
        <w:jc w:val="both"/>
        <w:rPr>
          <w:rFonts w:ascii="Verdana" w:hAnsi="Verdana"/>
          <w:sz w:val="20"/>
        </w:rPr>
      </w:pPr>
      <w:proofErr w:type="gramStart"/>
      <w:r w:rsidRPr="005B2A17">
        <w:rPr>
          <w:rFonts w:ascii="Verdana" w:hAnsi="Verdana"/>
          <w:sz w:val="20"/>
        </w:rPr>
        <w:t>inciso</w:t>
      </w:r>
      <w:proofErr w:type="gramEnd"/>
      <w:r w:rsidRPr="005B2A17">
        <w:rPr>
          <w:rFonts w:ascii="Verdana" w:hAnsi="Verdana"/>
          <w:sz w:val="20"/>
        </w:rPr>
        <w:t>, sub-inciso, apartado o, en general, a cualquier disposición, deberá entenderse realizada al capítulo, sección, numeral, inciso, sub-inciso, apartado o disposición correspondiente de este Manual.</w:t>
      </w:r>
    </w:p>
    <w:p w:rsidR="005B2A17" w:rsidRPr="005B2A17" w:rsidRDefault="005B2A17" w:rsidP="005B2A17">
      <w:pPr>
        <w:jc w:val="both"/>
        <w:rPr>
          <w:rFonts w:ascii="Verdana" w:hAnsi="Verdana"/>
          <w:sz w:val="20"/>
        </w:rPr>
      </w:pPr>
      <w:r w:rsidRPr="005B2A17">
        <w:rPr>
          <w:rFonts w:ascii="Verdana" w:hAnsi="Verdana"/>
          <w:b/>
          <w:bCs/>
          <w:sz w:val="20"/>
        </w:rPr>
        <w:t>CAPÍTULO 2</w:t>
      </w:r>
    </w:p>
    <w:p w:rsidR="005B2A17" w:rsidRPr="005B2A17" w:rsidRDefault="005B2A17" w:rsidP="005B2A17">
      <w:pPr>
        <w:jc w:val="both"/>
        <w:rPr>
          <w:rFonts w:ascii="Verdana" w:hAnsi="Verdana"/>
          <w:sz w:val="20"/>
        </w:rPr>
      </w:pPr>
      <w:r w:rsidRPr="005B2A17">
        <w:rPr>
          <w:rFonts w:ascii="Verdana" w:hAnsi="Verdana"/>
          <w:b/>
          <w:bCs/>
          <w:sz w:val="20"/>
        </w:rPr>
        <w:lastRenderedPageBreak/>
        <w:t>Enlaces de Interconexión existentes en el Sistema Eléctrico Nacional</w:t>
      </w:r>
    </w:p>
    <w:p w:rsidR="005B2A17" w:rsidRPr="005B2A17" w:rsidRDefault="005B2A17" w:rsidP="005B2A17">
      <w:pPr>
        <w:jc w:val="both"/>
        <w:rPr>
          <w:rFonts w:ascii="Verdana" w:hAnsi="Verdana"/>
          <w:sz w:val="20"/>
        </w:rPr>
      </w:pPr>
      <w:r w:rsidRPr="005B2A17">
        <w:rPr>
          <w:rFonts w:ascii="Verdana" w:hAnsi="Verdana"/>
          <w:b/>
          <w:bCs/>
          <w:sz w:val="20"/>
        </w:rPr>
        <w:t>2.1</w:t>
      </w:r>
      <w:r w:rsidRPr="005B2A17">
        <w:rPr>
          <w:rFonts w:ascii="Verdana" w:hAnsi="Verdana"/>
          <w:sz w:val="20"/>
        </w:rPr>
        <w:t>      </w:t>
      </w:r>
      <w:r w:rsidRPr="005B2A17">
        <w:rPr>
          <w:rFonts w:ascii="Verdana" w:hAnsi="Verdana"/>
          <w:b/>
          <w:bCs/>
          <w:sz w:val="20"/>
        </w:rPr>
        <w:t>Disposiciones Generales</w:t>
      </w:r>
    </w:p>
    <w:p w:rsidR="005B2A17" w:rsidRPr="005B2A17" w:rsidRDefault="005B2A17" w:rsidP="005B2A17">
      <w:pPr>
        <w:jc w:val="both"/>
        <w:rPr>
          <w:rFonts w:ascii="Verdana" w:hAnsi="Verdana"/>
          <w:sz w:val="20"/>
        </w:rPr>
      </w:pPr>
      <w:r w:rsidRPr="005B2A17">
        <w:rPr>
          <w:rFonts w:ascii="Verdana" w:hAnsi="Verdana"/>
          <w:b/>
          <w:bCs/>
          <w:sz w:val="20"/>
        </w:rPr>
        <w:t>2.1.1</w:t>
      </w:r>
      <w:r w:rsidRPr="005B2A17">
        <w:rPr>
          <w:rFonts w:ascii="Verdana" w:hAnsi="Verdana"/>
          <w:sz w:val="20"/>
        </w:rPr>
        <w:t>   Los Participantes del Mercado podrán ofertar en el Mercado de Día en Adelanto las importaciones o exportaciones que tengan por objeto la comercialización de la energía eléctrica en el Mercado Eléctrico Mayorista de conformidad con lo establecido en las Bases del Mercado y el presente Manual.</w:t>
      </w:r>
    </w:p>
    <w:p w:rsidR="005B2A17" w:rsidRPr="005B2A17" w:rsidRDefault="005B2A17" w:rsidP="005B2A17">
      <w:pPr>
        <w:jc w:val="both"/>
        <w:rPr>
          <w:rFonts w:ascii="Verdana" w:hAnsi="Verdana"/>
          <w:sz w:val="20"/>
        </w:rPr>
      </w:pPr>
      <w:r w:rsidRPr="005B2A17">
        <w:rPr>
          <w:rFonts w:ascii="Verdana" w:hAnsi="Verdana"/>
          <w:b/>
          <w:bCs/>
          <w:sz w:val="20"/>
        </w:rPr>
        <w:t>2.1.2</w:t>
      </w:r>
      <w:r w:rsidRPr="005B2A17">
        <w:rPr>
          <w:rFonts w:ascii="Verdana" w:hAnsi="Verdana"/>
          <w:sz w:val="20"/>
        </w:rPr>
        <w:t>   El CENACE gestionará las importaciones y exportaciones necesarias para el abasto aislado, por confiabilidad o por emergencia que se sujetarán a las condiciones que se enuncian en el presente Manual.</w:t>
      </w:r>
    </w:p>
    <w:p w:rsidR="005B2A17" w:rsidRPr="005B2A17" w:rsidRDefault="005B2A17" w:rsidP="005B2A17">
      <w:pPr>
        <w:jc w:val="both"/>
        <w:rPr>
          <w:rFonts w:ascii="Verdana" w:hAnsi="Verdana"/>
          <w:sz w:val="20"/>
        </w:rPr>
      </w:pPr>
      <w:r w:rsidRPr="005B2A17">
        <w:rPr>
          <w:rFonts w:ascii="Verdana" w:hAnsi="Verdana"/>
          <w:b/>
          <w:bCs/>
          <w:sz w:val="20"/>
        </w:rPr>
        <w:t>2.1.3</w:t>
      </w:r>
      <w:r w:rsidRPr="005B2A17">
        <w:rPr>
          <w:rFonts w:ascii="Verdana" w:hAnsi="Verdana"/>
          <w:sz w:val="20"/>
        </w:rPr>
        <w:t>   Los Participantes del Mercado que realicen operaciones mencionadas en este Manual serán responsables de cumplir con la normatividad nacional y extranjera que les aplique.</w:t>
      </w:r>
    </w:p>
    <w:p w:rsidR="005B2A17" w:rsidRPr="005B2A17" w:rsidRDefault="005B2A17" w:rsidP="005B2A17">
      <w:pPr>
        <w:jc w:val="both"/>
        <w:rPr>
          <w:rFonts w:ascii="Verdana" w:hAnsi="Verdana"/>
          <w:sz w:val="20"/>
        </w:rPr>
      </w:pPr>
      <w:r w:rsidRPr="005B2A17">
        <w:rPr>
          <w:rFonts w:ascii="Verdana" w:hAnsi="Verdana"/>
          <w:b/>
          <w:bCs/>
          <w:sz w:val="20"/>
        </w:rPr>
        <w:t>2.2</w:t>
      </w:r>
      <w:r w:rsidRPr="005B2A17">
        <w:rPr>
          <w:rFonts w:ascii="Verdana" w:hAnsi="Verdana"/>
          <w:sz w:val="20"/>
        </w:rPr>
        <w:t>      </w:t>
      </w:r>
      <w:r w:rsidRPr="005B2A17">
        <w:rPr>
          <w:rFonts w:ascii="Verdana" w:hAnsi="Verdana"/>
          <w:b/>
          <w:bCs/>
          <w:sz w:val="20"/>
        </w:rPr>
        <w:t>Enlaces de Interconexión para importación y exportación comercial</w:t>
      </w:r>
    </w:p>
    <w:p w:rsidR="005B2A17" w:rsidRPr="005B2A17" w:rsidRDefault="005B2A17" w:rsidP="005B2A17">
      <w:pPr>
        <w:jc w:val="both"/>
        <w:rPr>
          <w:rFonts w:ascii="Verdana" w:hAnsi="Verdana"/>
          <w:sz w:val="20"/>
        </w:rPr>
      </w:pPr>
      <w:r w:rsidRPr="005B2A17">
        <w:rPr>
          <w:rFonts w:ascii="Verdana" w:hAnsi="Verdana"/>
          <w:b/>
          <w:bCs/>
          <w:sz w:val="20"/>
        </w:rPr>
        <w:t>2.2.1</w:t>
      </w:r>
      <w:r w:rsidRPr="005B2A17">
        <w:rPr>
          <w:rFonts w:ascii="Verdana" w:hAnsi="Verdana"/>
          <w:sz w:val="20"/>
        </w:rPr>
        <w:t>   Todos los Participantes del Mercado podrán importar y exportar energía eléctrica en los Enlaces de Interconexión para importación y exportación comercial. En particular, son los siguientes:</w:t>
      </w:r>
    </w:p>
    <w:p w:rsidR="005B2A17" w:rsidRPr="005B2A17" w:rsidRDefault="005B2A17" w:rsidP="005B2A17">
      <w:pPr>
        <w:jc w:val="both"/>
        <w:rPr>
          <w:rFonts w:ascii="Verdana" w:hAnsi="Verdana"/>
          <w:sz w:val="20"/>
        </w:rPr>
      </w:pPr>
      <w:r w:rsidRPr="005B2A17">
        <w:rPr>
          <w:rFonts w:ascii="Verdana" w:hAnsi="Verdana"/>
          <w:sz w:val="20"/>
        </w:rPr>
        <w:t>(a)  Generador (incluyendo el Generador de Intermediación)</w:t>
      </w:r>
    </w:p>
    <w:p w:rsidR="005B2A17" w:rsidRPr="005B2A17" w:rsidRDefault="005B2A17" w:rsidP="005B2A17">
      <w:pPr>
        <w:jc w:val="both"/>
        <w:rPr>
          <w:rFonts w:ascii="Verdana" w:hAnsi="Verdana"/>
          <w:sz w:val="20"/>
        </w:rPr>
      </w:pPr>
      <w:r w:rsidRPr="005B2A17">
        <w:rPr>
          <w:rFonts w:ascii="Verdana" w:hAnsi="Verdana"/>
          <w:sz w:val="20"/>
        </w:rPr>
        <w:t>(b)  Suministrador de Servicios Básicos</w:t>
      </w:r>
    </w:p>
    <w:p w:rsidR="005B2A17" w:rsidRPr="005B2A17" w:rsidRDefault="005B2A17" w:rsidP="005B2A17">
      <w:pPr>
        <w:jc w:val="both"/>
        <w:rPr>
          <w:rFonts w:ascii="Verdana" w:hAnsi="Verdana"/>
          <w:sz w:val="20"/>
        </w:rPr>
      </w:pPr>
      <w:r w:rsidRPr="005B2A17">
        <w:rPr>
          <w:rFonts w:ascii="Verdana" w:hAnsi="Verdana"/>
          <w:sz w:val="20"/>
        </w:rPr>
        <w:t>(c)  Suministrador de Servicios Calificados</w:t>
      </w:r>
    </w:p>
    <w:p w:rsidR="005B2A17" w:rsidRPr="005B2A17" w:rsidRDefault="005B2A17" w:rsidP="005B2A17">
      <w:pPr>
        <w:jc w:val="both"/>
        <w:rPr>
          <w:rFonts w:ascii="Verdana" w:hAnsi="Verdana"/>
          <w:sz w:val="20"/>
        </w:rPr>
      </w:pPr>
      <w:r w:rsidRPr="005B2A17">
        <w:rPr>
          <w:rFonts w:ascii="Verdana" w:hAnsi="Verdana"/>
          <w:sz w:val="20"/>
        </w:rPr>
        <w:t>(d)  Suministrador de Último Recurso</w:t>
      </w:r>
    </w:p>
    <w:p w:rsidR="005B2A17" w:rsidRPr="005B2A17" w:rsidRDefault="005B2A17" w:rsidP="005B2A17">
      <w:pPr>
        <w:jc w:val="both"/>
        <w:rPr>
          <w:rFonts w:ascii="Verdana" w:hAnsi="Verdana"/>
          <w:sz w:val="20"/>
        </w:rPr>
      </w:pPr>
      <w:r w:rsidRPr="005B2A17">
        <w:rPr>
          <w:rFonts w:ascii="Verdana" w:hAnsi="Verdana"/>
          <w:sz w:val="20"/>
        </w:rPr>
        <w:t>(e)  Comercializador No Suministrador</w:t>
      </w:r>
    </w:p>
    <w:p w:rsidR="005B2A17" w:rsidRPr="005B2A17" w:rsidRDefault="005B2A17" w:rsidP="005B2A17">
      <w:pPr>
        <w:jc w:val="both"/>
        <w:rPr>
          <w:rFonts w:ascii="Verdana" w:hAnsi="Verdana"/>
          <w:sz w:val="20"/>
        </w:rPr>
      </w:pPr>
      <w:r w:rsidRPr="005B2A17">
        <w:rPr>
          <w:rFonts w:ascii="Verdana" w:hAnsi="Verdana"/>
          <w:sz w:val="20"/>
        </w:rPr>
        <w:t>(f)   Usuario Calificado Participante del Mercado</w:t>
      </w:r>
    </w:p>
    <w:p w:rsidR="005B2A17" w:rsidRPr="005B2A17" w:rsidRDefault="005B2A17" w:rsidP="005B2A17">
      <w:pPr>
        <w:jc w:val="both"/>
        <w:rPr>
          <w:rFonts w:ascii="Verdana" w:hAnsi="Verdana"/>
          <w:sz w:val="20"/>
        </w:rPr>
      </w:pPr>
      <w:r w:rsidRPr="005B2A17">
        <w:rPr>
          <w:rFonts w:ascii="Verdana" w:hAnsi="Verdana"/>
          <w:b/>
          <w:bCs/>
          <w:sz w:val="20"/>
        </w:rPr>
        <w:t>2.2.2</w:t>
      </w:r>
      <w:r w:rsidRPr="005B2A17">
        <w:rPr>
          <w:rFonts w:ascii="Verdana" w:hAnsi="Verdana"/>
          <w:sz w:val="20"/>
        </w:rPr>
        <w:t>   Los Enlaces de Interconexión para importación y exportación comercial dentro del Mercado Eléctrico Mayorista son los siguientes:</w:t>
      </w:r>
    </w:p>
    <w:tbl>
      <w:tblPr>
        <w:tblW w:w="0" w:type="auto"/>
        <w:tblInd w:w="900" w:type="dxa"/>
        <w:shd w:val="clear" w:color="auto" w:fill="FFFFFF"/>
        <w:tblCellMar>
          <w:top w:w="15" w:type="dxa"/>
          <w:left w:w="15" w:type="dxa"/>
          <w:bottom w:w="15" w:type="dxa"/>
          <w:right w:w="15" w:type="dxa"/>
        </w:tblCellMar>
        <w:tblLook w:val="04A0" w:firstRow="1" w:lastRow="0" w:firstColumn="1" w:lastColumn="0" w:noHBand="0" w:noVBand="1"/>
      </w:tblPr>
      <w:tblGrid>
        <w:gridCol w:w="1347"/>
        <w:gridCol w:w="1394"/>
        <w:gridCol w:w="1291"/>
        <w:gridCol w:w="1036"/>
        <w:gridCol w:w="1482"/>
        <w:gridCol w:w="1532"/>
      </w:tblGrid>
      <w:tr w:rsidR="005B2A17" w:rsidRPr="005B2A17" w:rsidTr="005B2A17">
        <w:trPr>
          <w:trHeight w:val="332"/>
        </w:trPr>
        <w:tc>
          <w:tcPr>
            <w:tcW w:w="7920" w:type="dxa"/>
            <w:gridSpan w:val="6"/>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rsidR="005B2A17" w:rsidRPr="005B2A17" w:rsidRDefault="005B2A17" w:rsidP="005B2A17">
            <w:pPr>
              <w:jc w:val="both"/>
              <w:divId w:val="1761027041"/>
              <w:rPr>
                <w:rFonts w:ascii="Verdana" w:hAnsi="Verdana"/>
                <w:sz w:val="20"/>
              </w:rPr>
            </w:pPr>
            <w:r w:rsidRPr="005B2A17">
              <w:rPr>
                <w:rFonts w:ascii="Verdana" w:hAnsi="Verdana"/>
                <w:b/>
                <w:bCs/>
                <w:sz w:val="20"/>
              </w:rPr>
              <w:t>Enlaces de Interconexión para importación y exportación comercial</w:t>
            </w:r>
          </w:p>
        </w:tc>
      </w:tr>
      <w:tr w:rsidR="005B2A17" w:rsidRPr="005B2A17" w:rsidTr="005B2A17">
        <w:trPr>
          <w:trHeight w:val="965"/>
        </w:trPr>
        <w:tc>
          <w:tcPr>
            <w:tcW w:w="1080" w:type="dxa"/>
            <w:vMerge w:val="restart"/>
            <w:tcBorders>
              <w:top w:val="single" w:sz="6" w:space="0" w:color="000000"/>
              <w:left w:val="single" w:sz="6" w:space="0" w:color="000000"/>
              <w:right w:val="single" w:sz="6" w:space="0" w:color="000000"/>
            </w:tcBorders>
            <w:shd w:val="clear" w:color="auto" w:fill="E0E0E0"/>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b/>
                <w:bCs/>
                <w:sz w:val="20"/>
              </w:rPr>
              <w:t>Región</w:t>
            </w:r>
          </w:p>
        </w:tc>
        <w:tc>
          <w:tcPr>
            <w:tcW w:w="1800" w:type="dxa"/>
            <w:vMerge w:val="restart"/>
            <w:tcBorders>
              <w:top w:val="single" w:sz="6" w:space="0" w:color="000000"/>
              <w:left w:val="single" w:sz="6" w:space="0" w:color="000000"/>
              <w:right w:val="single" w:sz="6" w:space="0" w:color="000000"/>
            </w:tcBorders>
            <w:shd w:val="clear" w:color="auto" w:fill="E0E0E0"/>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b/>
                <w:bCs/>
                <w:sz w:val="20"/>
              </w:rPr>
              <w:t>Enlace México -</w:t>
            </w:r>
            <w:r w:rsidRPr="005B2A17">
              <w:rPr>
                <w:rFonts w:ascii="Verdana" w:hAnsi="Verdana"/>
                <w:sz w:val="20"/>
              </w:rPr>
              <w:br/>
            </w:r>
            <w:r w:rsidRPr="005B2A17">
              <w:rPr>
                <w:rFonts w:ascii="Verdana" w:hAnsi="Verdana"/>
                <w:b/>
                <w:bCs/>
                <w:sz w:val="20"/>
              </w:rPr>
              <w:t>Extranjero</w:t>
            </w:r>
          </w:p>
        </w:tc>
        <w:tc>
          <w:tcPr>
            <w:tcW w:w="1665" w:type="dxa"/>
            <w:vMerge w:val="restart"/>
            <w:tcBorders>
              <w:top w:val="single" w:sz="6" w:space="0" w:color="000000"/>
              <w:left w:val="single" w:sz="6" w:space="0" w:color="000000"/>
              <w:right w:val="single" w:sz="6" w:space="0" w:color="000000"/>
            </w:tcBorders>
            <w:shd w:val="clear" w:color="auto" w:fill="E0E0E0"/>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b/>
                <w:bCs/>
                <w:sz w:val="20"/>
              </w:rPr>
              <w:t>Operador del</w:t>
            </w:r>
            <w:r w:rsidRPr="005B2A17">
              <w:rPr>
                <w:rFonts w:ascii="Verdana" w:hAnsi="Verdana"/>
                <w:sz w:val="20"/>
              </w:rPr>
              <w:br/>
            </w:r>
            <w:r w:rsidRPr="005B2A17">
              <w:rPr>
                <w:rFonts w:ascii="Verdana" w:hAnsi="Verdana"/>
                <w:b/>
                <w:bCs/>
                <w:sz w:val="20"/>
              </w:rPr>
              <w:t>Sistema Eléctrico -</w:t>
            </w:r>
            <w:r w:rsidRPr="005B2A17">
              <w:rPr>
                <w:rFonts w:ascii="Verdana" w:hAnsi="Verdana"/>
                <w:sz w:val="20"/>
              </w:rPr>
              <w:br/>
            </w:r>
            <w:r w:rsidRPr="005B2A17">
              <w:rPr>
                <w:rFonts w:ascii="Verdana" w:hAnsi="Verdana"/>
                <w:b/>
                <w:bCs/>
                <w:sz w:val="20"/>
              </w:rPr>
              <w:t>País</w:t>
            </w:r>
          </w:p>
        </w:tc>
        <w:tc>
          <w:tcPr>
            <w:tcW w:w="1125" w:type="dxa"/>
            <w:vMerge w:val="restart"/>
            <w:tcBorders>
              <w:top w:val="single" w:sz="6" w:space="0" w:color="000000"/>
              <w:left w:val="single" w:sz="6" w:space="0" w:color="000000"/>
              <w:right w:val="single" w:sz="6" w:space="0" w:color="000000"/>
            </w:tcBorders>
            <w:shd w:val="clear" w:color="auto" w:fill="E0E0E0"/>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b/>
                <w:bCs/>
                <w:sz w:val="20"/>
              </w:rPr>
              <w:t>Tensión</w:t>
            </w:r>
            <w:r w:rsidRPr="005B2A17">
              <w:rPr>
                <w:rFonts w:ascii="Verdana" w:hAnsi="Verdana"/>
                <w:sz w:val="20"/>
              </w:rPr>
              <w:br/>
            </w:r>
            <w:r w:rsidRPr="005B2A17">
              <w:rPr>
                <w:rFonts w:ascii="Verdana" w:hAnsi="Verdana"/>
                <w:b/>
                <w:bCs/>
                <w:sz w:val="20"/>
              </w:rPr>
              <w:t>(KV)</w:t>
            </w:r>
          </w:p>
        </w:tc>
        <w:tc>
          <w:tcPr>
            <w:tcW w:w="2250" w:type="dxa"/>
            <w:gridSpan w:val="2"/>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b/>
                <w:bCs/>
                <w:sz w:val="20"/>
              </w:rPr>
              <w:t>Capacidad de</w:t>
            </w:r>
            <w:r w:rsidRPr="005B2A17">
              <w:rPr>
                <w:rFonts w:ascii="Verdana" w:hAnsi="Verdana"/>
                <w:sz w:val="20"/>
              </w:rPr>
              <w:br/>
            </w:r>
            <w:r w:rsidRPr="005B2A17">
              <w:rPr>
                <w:rFonts w:ascii="Verdana" w:hAnsi="Verdana"/>
                <w:b/>
                <w:bCs/>
                <w:sz w:val="20"/>
              </w:rPr>
              <w:t>Transferencia Disponible/</w:t>
            </w:r>
            <w:r w:rsidRPr="005B2A17">
              <w:rPr>
                <w:rFonts w:ascii="Verdana" w:hAnsi="Verdana"/>
                <w:sz w:val="20"/>
              </w:rPr>
              <w:br/>
            </w:r>
            <w:r w:rsidRPr="005B2A17">
              <w:rPr>
                <w:rFonts w:ascii="Verdana" w:hAnsi="Verdana"/>
                <w:b/>
                <w:bCs/>
                <w:sz w:val="20"/>
              </w:rPr>
              <w:t>Capacidad Total de</w:t>
            </w:r>
            <w:r w:rsidRPr="005B2A17">
              <w:rPr>
                <w:rFonts w:ascii="Verdana" w:hAnsi="Verdana"/>
                <w:sz w:val="20"/>
              </w:rPr>
              <w:br/>
            </w:r>
            <w:r w:rsidRPr="005B2A17">
              <w:rPr>
                <w:rFonts w:ascii="Verdana" w:hAnsi="Verdana"/>
                <w:b/>
                <w:bCs/>
                <w:sz w:val="20"/>
              </w:rPr>
              <w:t>Transferencia (MW)(1)</w:t>
            </w:r>
          </w:p>
        </w:tc>
      </w:tr>
      <w:tr w:rsidR="005B2A17" w:rsidRPr="005B2A17" w:rsidTr="005B2A17">
        <w:trPr>
          <w:trHeight w:val="317"/>
        </w:trPr>
        <w:tc>
          <w:tcPr>
            <w:tcW w:w="0" w:type="auto"/>
            <w:vMerge/>
            <w:tcBorders>
              <w:top w:val="single" w:sz="6" w:space="0" w:color="000000"/>
              <w:left w:val="single" w:sz="6" w:space="0" w:color="000000"/>
              <w:right w:val="single" w:sz="6" w:space="0" w:color="000000"/>
            </w:tcBorders>
            <w:shd w:val="clear" w:color="auto" w:fill="FFFFFF"/>
            <w:vAlign w:val="center"/>
            <w:hideMark/>
          </w:tcPr>
          <w:p w:rsidR="005B2A17" w:rsidRPr="005B2A17" w:rsidRDefault="005B2A17" w:rsidP="005B2A17">
            <w:pPr>
              <w:jc w:val="both"/>
              <w:rPr>
                <w:rFonts w:ascii="Verdana" w:hAnsi="Verdana"/>
                <w:sz w:val="20"/>
              </w:rPr>
            </w:pP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5B2A17" w:rsidRPr="005B2A17" w:rsidRDefault="005B2A17" w:rsidP="005B2A17">
            <w:pPr>
              <w:jc w:val="both"/>
              <w:rPr>
                <w:rFonts w:ascii="Verdana" w:hAnsi="Verdana"/>
                <w:sz w:val="20"/>
              </w:rPr>
            </w:pP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5B2A17" w:rsidRPr="005B2A17" w:rsidRDefault="005B2A17" w:rsidP="005B2A17">
            <w:pPr>
              <w:jc w:val="both"/>
              <w:rPr>
                <w:rFonts w:ascii="Verdana" w:hAnsi="Verdana"/>
                <w:sz w:val="20"/>
              </w:rPr>
            </w:pP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5B2A17" w:rsidRPr="005B2A17" w:rsidRDefault="005B2A17" w:rsidP="005B2A17">
            <w:pPr>
              <w:jc w:val="both"/>
              <w:rPr>
                <w:rFonts w:ascii="Verdana" w:hAnsi="Verdana"/>
                <w:sz w:val="20"/>
              </w:rPr>
            </w:pPr>
          </w:p>
        </w:tc>
        <w:tc>
          <w:tcPr>
            <w:tcW w:w="1133"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b/>
                <w:bCs/>
                <w:sz w:val="20"/>
              </w:rPr>
              <w:t>Exportación</w:t>
            </w:r>
          </w:p>
        </w:tc>
        <w:tc>
          <w:tcPr>
            <w:tcW w:w="1117"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b/>
                <w:bCs/>
                <w:sz w:val="20"/>
              </w:rPr>
              <w:t>Importación</w:t>
            </w:r>
          </w:p>
        </w:tc>
      </w:tr>
      <w:tr w:rsidR="005B2A17" w:rsidRPr="005B2A17" w:rsidTr="005B2A17">
        <w:trPr>
          <w:trHeight w:val="533"/>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Oriental</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Tapachula Potencia </w:t>
            </w:r>
            <w:r w:rsidRPr="005B2A17">
              <w:rPr>
                <w:rFonts w:ascii="Verdana" w:hAnsi="Verdana"/>
                <w:sz w:val="20"/>
              </w:rPr>
              <w:br/>
            </w:r>
            <w:r w:rsidRPr="005B2A17">
              <w:rPr>
                <w:rFonts w:ascii="Verdana" w:hAnsi="Verdana"/>
                <w:sz w:val="20"/>
              </w:rPr>
              <w:lastRenderedPageBreak/>
              <w:t>Los Brillantes</w:t>
            </w:r>
          </w:p>
        </w:tc>
        <w:tc>
          <w:tcPr>
            <w:tcW w:w="16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lastRenderedPageBreak/>
              <w:t xml:space="preserve">AMM - </w:t>
            </w:r>
            <w:r w:rsidRPr="005B2A17">
              <w:rPr>
                <w:rFonts w:ascii="Verdana" w:hAnsi="Verdana"/>
                <w:sz w:val="20"/>
              </w:rPr>
              <w:lastRenderedPageBreak/>
              <w:t>Guatemala</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lastRenderedPageBreak/>
              <w:t>400</w:t>
            </w:r>
          </w:p>
        </w:tc>
        <w:tc>
          <w:tcPr>
            <w:tcW w:w="11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240/240</w:t>
            </w:r>
          </w:p>
        </w:tc>
        <w:tc>
          <w:tcPr>
            <w:tcW w:w="11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240/240</w:t>
            </w:r>
          </w:p>
        </w:tc>
      </w:tr>
      <w:tr w:rsidR="005B2A17" w:rsidRPr="005B2A17" w:rsidTr="005B2A17">
        <w:trPr>
          <w:trHeight w:val="31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lastRenderedPageBreak/>
              <w:t>Noreste*</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Cd. Industrial - Laredo</w:t>
            </w:r>
          </w:p>
        </w:tc>
        <w:tc>
          <w:tcPr>
            <w:tcW w:w="16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ERCOT - EUA</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230 - 138</w:t>
            </w:r>
          </w:p>
        </w:tc>
        <w:tc>
          <w:tcPr>
            <w:tcW w:w="11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100/100</w:t>
            </w:r>
          </w:p>
        </w:tc>
        <w:tc>
          <w:tcPr>
            <w:tcW w:w="11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100/100</w:t>
            </w:r>
          </w:p>
        </w:tc>
      </w:tr>
      <w:tr w:rsidR="005B2A17" w:rsidRPr="005B2A17" w:rsidTr="005B2A17">
        <w:trPr>
          <w:trHeight w:val="31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Noreste</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Cumbres Rail Road</w:t>
            </w:r>
          </w:p>
        </w:tc>
        <w:tc>
          <w:tcPr>
            <w:tcW w:w="16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ERCOT - EUA</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138</w:t>
            </w:r>
          </w:p>
        </w:tc>
        <w:tc>
          <w:tcPr>
            <w:tcW w:w="11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290/300</w:t>
            </w:r>
          </w:p>
        </w:tc>
        <w:tc>
          <w:tcPr>
            <w:tcW w:w="11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290/300</w:t>
            </w:r>
          </w:p>
        </w:tc>
      </w:tr>
      <w:tr w:rsidR="005B2A17" w:rsidRPr="005B2A17" w:rsidTr="005B2A17">
        <w:trPr>
          <w:trHeight w:val="533"/>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Noreste</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Piedras Negras </w:t>
            </w:r>
            <w:r w:rsidRPr="005B2A17">
              <w:rPr>
                <w:rFonts w:ascii="Verdana" w:hAnsi="Verdana"/>
                <w:sz w:val="20"/>
              </w:rPr>
              <w:br/>
              <w:t>Eagle Pass</w:t>
            </w:r>
          </w:p>
        </w:tc>
        <w:tc>
          <w:tcPr>
            <w:tcW w:w="16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ERCOT - EUA</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138</w:t>
            </w:r>
          </w:p>
        </w:tc>
        <w:tc>
          <w:tcPr>
            <w:tcW w:w="11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36/36</w:t>
            </w:r>
          </w:p>
        </w:tc>
        <w:tc>
          <w:tcPr>
            <w:tcW w:w="11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30/36</w:t>
            </w:r>
          </w:p>
        </w:tc>
      </w:tr>
      <w:tr w:rsidR="005B2A17" w:rsidRPr="005B2A17" w:rsidTr="005B2A17">
        <w:trPr>
          <w:trHeight w:val="533"/>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Baja</w:t>
            </w:r>
            <w:r w:rsidRPr="005B2A17">
              <w:rPr>
                <w:rFonts w:ascii="Verdana" w:hAnsi="Verdana"/>
                <w:sz w:val="20"/>
              </w:rPr>
              <w:br/>
              <w:t>California**</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La Rosita Imperial</w:t>
            </w:r>
            <w:r w:rsidRPr="005B2A17">
              <w:rPr>
                <w:rFonts w:ascii="Verdana" w:hAnsi="Verdana"/>
                <w:sz w:val="20"/>
              </w:rPr>
              <w:br/>
              <w:t>Valley</w:t>
            </w:r>
          </w:p>
        </w:tc>
        <w:tc>
          <w:tcPr>
            <w:tcW w:w="16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CAISO - EUA</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230</w:t>
            </w:r>
          </w:p>
        </w:tc>
        <w:tc>
          <w:tcPr>
            <w:tcW w:w="1133"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800/800</w:t>
            </w:r>
          </w:p>
        </w:tc>
        <w:tc>
          <w:tcPr>
            <w:tcW w:w="1117"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408/408</w:t>
            </w:r>
          </w:p>
        </w:tc>
      </w:tr>
      <w:tr w:rsidR="005B2A17" w:rsidRPr="005B2A17" w:rsidTr="005B2A17">
        <w:trPr>
          <w:trHeight w:val="533"/>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Baja</w:t>
            </w:r>
            <w:r w:rsidRPr="005B2A17">
              <w:rPr>
                <w:rFonts w:ascii="Verdana" w:hAnsi="Verdana"/>
                <w:sz w:val="20"/>
              </w:rPr>
              <w:br/>
              <w:t>California**</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 xml:space="preserve">Tijuana </w:t>
            </w:r>
            <w:proofErr w:type="spellStart"/>
            <w:r w:rsidRPr="005B2A17">
              <w:rPr>
                <w:rFonts w:ascii="Verdana" w:hAnsi="Verdana"/>
                <w:sz w:val="20"/>
              </w:rPr>
              <w:t>Otay</w:t>
            </w:r>
            <w:proofErr w:type="spellEnd"/>
            <w:r w:rsidRPr="005B2A17">
              <w:rPr>
                <w:rFonts w:ascii="Verdana" w:hAnsi="Verdana"/>
                <w:sz w:val="20"/>
              </w:rPr>
              <w:t xml:space="preserve"> Mesa</w:t>
            </w:r>
          </w:p>
        </w:tc>
        <w:tc>
          <w:tcPr>
            <w:tcW w:w="16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CAISO - EUA</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230</w:t>
            </w: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5B2A17" w:rsidRPr="005B2A17" w:rsidRDefault="005B2A17" w:rsidP="005B2A17">
            <w:pPr>
              <w:jc w:val="both"/>
              <w:rPr>
                <w:rFonts w:ascii="Verdana" w:hAnsi="Verdana"/>
                <w:sz w:val="20"/>
              </w:rPr>
            </w:pP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5B2A17" w:rsidRPr="005B2A17" w:rsidRDefault="005B2A17" w:rsidP="005B2A17">
            <w:pPr>
              <w:jc w:val="both"/>
              <w:rPr>
                <w:rFonts w:ascii="Verdana" w:hAnsi="Verdana"/>
                <w:sz w:val="20"/>
              </w:rPr>
            </w:pPr>
          </w:p>
        </w:tc>
      </w:tr>
      <w:tr w:rsidR="005B2A17" w:rsidRPr="005B2A17" w:rsidTr="005B2A17">
        <w:trPr>
          <w:trHeight w:val="332"/>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Peninsular</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proofErr w:type="spellStart"/>
            <w:r w:rsidRPr="005B2A17">
              <w:rPr>
                <w:rFonts w:ascii="Verdana" w:hAnsi="Verdana"/>
                <w:sz w:val="20"/>
              </w:rPr>
              <w:t>Xul</w:t>
            </w:r>
            <w:proofErr w:type="spellEnd"/>
            <w:r w:rsidRPr="005B2A17">
              <w:rPr>
                <w:rFonts w:ascii="Verdana" w:hAnsi="Verdana"/>
                <w:sz w:val="20"/>
              </w:rPr>
              <w:t>-Ha - West</w:t>
            </w:r>
          </w:p>
        </w:tc>
        <w:tc>
          <w:tcPr>
            <w:tcW w:w="16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BEL - Belice</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115</w:t>
            </w:r>
          </w:p>
        </w:tc>
        <w:tc>
          <w:tcPr>
            <w:tcW w:w="11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50/70</w:t>
            </w:r>
          </w:p>
        </w:tc>
        <w:tc>
          <w:tcPr>
            <w:tcW w:w="11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50/50</w:t>
            </w:r>
          </w:p>
        </w:tc>
      </w:tr>
    </w:tbl>
    <w:p w:rsidR="005B2A17" w:rsidRPr="005B2A17" w:rsidRDefault="005B2A17" w:rsidP="005B2A17">
      <w:pPr>
        <w:jc w:val="both"/>
        <w:rPr>
          <w:rFonts w:ascii="Verdana" w:hAnsi="Verdana"/>
          <w:sz w:val="20"/>
        </w:rPr>
      </w:pPr>
      <w:r w:rsidRPr="005B2A17">
        <w:rPr>
          <w:rFonts w:ascii="Verdana" w:hAnsi="Verdana"/>
          <w:sz w:val="20"/>
        </w:rPr>
        <w:t>          * El enlace Cd industrial-Laredo cuenta con 2 líneas de transmisión, una en 230 KV y otra en 138 </w:t>
      </w:r>
      <w:proofErr w:type="spellStart"/>
      <w:r w:rsidRPr="005B2A17">
        <w:rPr>
          <w:rFonts w:ascii="Verdana" w:hAnsi="Verdana"/>
          <w:sz w:val="20"/>
        </w:rPr>
        <w:t>kV</w:t>
      </w:r>
      <w:proofErr w:type="spellEnd"/>
      <w:r w:rsidRPr="005B2A17">
        <w:rPr>
          <w:rFonts w:ascii="Verdana" w:hAnsi="Verdana"/>
          <w:sz w:val="20"/>
        </w:rPr>
        <w:t xml:space="preserve">. Sin embargo, se considera como un solo enlace para fines de liquidaciones y se modela en el nodo de 138 </w:t>
      </w:r>
      <w:proofErr w:type="spellStart"/>
      <w:r w:rsidRPr="005B2A17">
        <w:rPr>
          <w:rFonts w:ascii="Verdana" w:hAnsi="Verdana"/>
          <w:sz w:val="20"/>
        </w:rPr>
        <w:t>kV</w:t>
      </w:r>
      <w:proofErr w:type="spellEnd"/>
      <w:r w:rsidRPr="005B2A17">
        <w:rPr>
          <w:rFonts w:ascii="Verdana" w:hAnsi="Verdana"/>
          <w:sz w:val="20"/>
        </w:rPr>
        <w:t>.</w:t>
      </w:r>
    </w:p>
    <w:p w:rsidR="005B2A17" w:rsidRPr="005B2A17" w:rsidRDefault="005B2A17" w:rsidP="005B2A17">
      <w:pPr>
        <w:jc w:val="both"/>
        <w:rPr>
          <w:rFonts w:ascii="Verdana" w:hAnsi="Verdana"/>
          <w:sz w:val="20"/>
        </w:rPr>
      </w:pPr>
      <w:r w:rsidRPr="005B2A17">
        <w:rPr>
          <w:rFonts w:ascii="Verdana" w:hAnsi="Verdana"/>
          <w:sz w:val="20"/>
        </w:rPr>
        <w:t xml:space="preserve">          ** El conjunto de Enlaces de Interconexión de la región de Baja California se denomina </w:t>
      </w:r>
      <w:proofErr w:type="spellStart"/>
      <w:r w:rsidRPr="005B2A17">
        <w:rPr>
          <w:rFonts w:ascii="Verdana" w:hAnsi="Verdana"/>
          <w:sz w:val="20"/>
        </w:rPr>
        <w:t>Path</w:t>
      </w:r>
      <w:proofErr w:type="spellEnd"/>
      <w:r w:rsidRPr="005B2A17">
        <w:rPr>
          <w:rFonts w:ascii="Verdana" w:hAnsi="Verdana"/>
          <w:sz w:val="20"/>
        </w:rPr>
        <w:t xml:space="preserve"> 45 y la suma de las exportaciones de este conjunto tiene máximo de 800 MW, mientras que la suma de</w:t>
      </w:r>
    </w:p>
    <w:p w:rsidR="005B2A17" w:rsidRPr="005B2A17" w:rsidRDefault="005B2A17" w:rsidP="005B2A17">
      <w:pPr>
        <w:jc w:val="both"/>
        <w:rPr>
          <w:rFonts w:ascii="Verdana" w:hAnsi="Verdana"/>
          <w:sz w:val="20"/>
        </w:rPr>
      </w:pPr>
      <w:proofErr w:type="gramStart"/>
      <w:r w:rsidRPr="005B2A17">
        <w:rPr>
          <w:rFonts w:ascii="Verdana" w:hAnsi="Verdana"/>
          <w:sz w:val="20"/>
        </w:rPr>
        <w:t>las</w:t>
      </w:r>
      <w:proofErr w:type="gramEnd"/>
      <w:r w:rsidRPr="005B2A17">
        <w:rPr>
          <w:rFonts w:ascii="Verdana" w:hAnsi="Verdana"/>
          <w:sz w:val="20"/>
        </w:rPr>
        <w:t xml:space="preserve"> importaciones tiene máximo de 408 MW.</w:t>
      </w:r>
    </w:p>
    <w:p w:rsidR="005B2A17" w:rsidRPr="005B2A17" w:rsidRDefault="005B2A17" w:rsidP="005B2A17">
      <w:pPr>
        <w:jc w:val="both"/>
        <w:rPr>
          <w:rFonts w:ascii="Verdana" w:hAnsi="Verdana"/>
          <w:sz w:val="20"/>
        </w:rPr>
      </w:pPr>
      <w:r w:rsidRPr="005B2A17">
        <w:rPr>
          <w:rFonts w:ascii="Verdana" w:hAnsi="Verdana"/>
          <w:b/>
          <w:bCs/>
          <w:sz w:val="20"/>
        </w:rPr>
        <w:t>2.3</w:t>
      </w:r>
      <w:r w:rsidRPr="005B2A17">
        <w:rPr>
          <w:rFonts w:ascii="Verdana" w:hAnsi="Verdana"/>
          <w:sz w:val="20"/>
        </w:rPr>
        <w:t>      </w:t>
      </w:r>
      <w:r w:rsidRPr="005B2A17">
        <w:rPr>
          <w:rFonts w:ascii="Verdana" w:hAnsi="Verdana"/>
          <w:b/>
          <w:bCs/>
          <w:sz w:val="20"/>
        </w:rPr>
        <w:t>Enlaces de Interconexión para importación/exportación de Unidades de Centrales Eléctricas interconectadas exclusivamente al Sistema Eléctrico Nacional</w:t>
      </w:r>
    </w:p>
    <w:p w:rsidR="005B2A17" w:rsidRPr="005B2A17" w:rsidRDefault="005B2A17" w:rsidP="005B2A17">
      <w:pPr>
        <w:jc w:val="both"/>
        <w:rPr>
          <w:rFonts w:ascii="Verdana" w:hAnsi="Verdana"/>
          <w:sz w:val="20"/>
        </w:rPr>
      </w:pPr>
      <w:r w:rsidRPr="005B2A17">
        <w:rPr>
          <w:rFonts w:ascii="Verdana" w:hAnsi="Verdana"/>
          <w:b/>
          <w:bCs/>
          <w:sz w:val="20"/>
        </w:rPr>
        <w:t>2.3.1</w:t>
      </w:r>
      <w:r w:rsidRPr="005B2A17">
        <w:rPr>
          <w:rFonts w:ascii="Verdana" w:hAnsi="Verdana"/>
          <w:sz w:val="20"/>
        </w:rPr>
        <w:t>   Únicamente los Participantes del Mercado en la modalidad de Generador que representen las Centrales Eléctricas localizadas en el extranjero que estén interconectadas exclusivamente al Sistema Eléctrico Nacional, podrán programar importaciones y exportaciones a partir de estas Centrales.</w:t>
      </w:r>
    </w:p>
    <w:p w:rsidR="005B2A17" w:rsidRPr="005B2A17" w:rsidRDefault="005B2A17" w:rsidP="005B2A17">
      <w:pPr>
        <w:jc w:val="both"/>
        <w:rPr>
          <w:rFonts w:ascii="Verdana" w:hAnsi="Verdana"/>
          <w:sz w:val="20"/>
        </w:rPr>
      </w:pPr>
      <w:r w:rsidRPr="005B2A17">
        <w:rPr>
          <w:rFonts w:ascii="Verdana" w:hAnsi="Verdana"/>
          <w:b/>
          <w:bCs/>
          <w:sz w:val="20"/>
        </w:rPr>
        <w:t>2.3.2</w:t>
      </w:r>
      <w:r w:rsidRPr="005B2A17">
        <w:rPr>
          <w:rFonts w:ascii="Verdana" w:hAnsi="Verdana"/>
          <w:sz w:val="20"/>
        </w:rPr>
        <w:t>   La programación de importación o exportación para las Centrales Eléctricas localizadas en el extranjero interconectadas exclusivamente al Sistema Eléctrico Nacional se realizarán en el Mercado de Corto Plazo mediante ofertas de venta u ofertas de compra para usos propios, en los mismos términos aplicables a las Centrales ubicadas en territorio nacional, y no con etiquetas electrónicas.</w:t>
      </w:r>
    </w:p>
    <w:p w:rsidR="005B2A17" w:rsidRPr="005B2A17" w:rsidRDefault="005B2A17" w:rsidP="005B2A17">
      <w:pPr>
        <w:jc w:val="both"/>
        <w:rPr>
          <w:rFonts w:ascii="Verdana" w:hAnsi="Verdana"/>
          <w:sz w:val="20"/>
        </w:rPr>
      </w:pPr>
      <w:r w:rsidRPr="005B2A17">
        <w:rPr>
          <w:rFonts w:ascii="Verdana" w:hAnsi="Verdana"/>
          <w:b/>
          <w:bCs/>
          <w:sz w:val="20"/>
        </w:rPr>
        <w:lastRenderedPageBreak/>
        <w:t>2.3.3</w:t>
      </w:r>
      <w:r w:rsidRPr="005B2A17">
        <w:rPr>
          <w:rFonts w:ascii="Verdana" w:hAnsi="Verdana"/>
          <w:sz w:val="20"/>
        </w:rPr>
        <w:t>   Las Centrales Eléctricas en el extranjero interconectadas al Sistema Eléctrico Nacional podrán exportar energía del Sistema Eléctrico Nacional para el consumo de sus usos propios.</w:t>
      </w:r>
    </w:p>
    <w:p w:rsidR="005B2A17" w:rsidRPr="005B2A17" w:rsidRDefault="005B2A17" w:rsidP="005B2A17">
      <w:pPr>
        <w:jc w:val="both"/>
        <w:rPr>
          <w:rFonts w:ascii="Verdana" w:hAnsi="Verdana"/>
          <w:sz w:val="20"/>
        </w:rPr>
      </w:pPr>
      <w:r w:rsidRPr="005B2A17">
        <w:rPr>
          <w:rFonts w:ascii="Verdana" w:hAnsi="Verdana"/>
          <w:b/>
          <w:bCs/>
          <w:sz w:val="20"/>
        </w:rPr>
        <w:t>2.3.4</w:t>
      </w:r>
      <w:r w:rsidRPr="005B2A17">
        <w:rPr>
          <w:rFonts w:ascii="Verdana" w:hAnsi="Verdana"/>
          <w:sz w:val="20"/>
        </w:rPr>
        <w:t>   Los Enlaces de Interconexión para la importación/exportación de las Centrales Eléctricas interconectadas exclusivamente al Sistema Eléctrico Nacional son los siguientes:</w:t>
      </w:r>
    </w:p>
    <w:tbl>
      <w:tblPr>
        <w:tblW w:w="0" w:type="auto"/>
        <w:tblInd w:w="900" w:type="dxa"/>
        <w:shd w:val="clear" w:color="auto" w:fill="FFFFFF"/>
        <w:tblCellMar>
          <w:top w:w="15" w:type="dxa"/>
          <w:left w:w="15" w:type="dxa"/>
          <w:bottom w:w="15" w:type="dxa"/>
          <w:right w:w="15" w:type="dxa"/>
        </w:tblCellMar>
        <w:tblLook w:val="04A0" w:firstRow="1" w:lastRow="0" w:firstColumn="1" w:lastColumn="0" w:noHBand="0" w:noVBand="1"/>
      </w:tblPr>
      <w:tblGrid>
        <w:gridCol w:w="917"/>
        <w:gridCol w:w="1950"/>
        <w:gridCol w:w="1597"/>
        <w:gridCol w:w="1018"/>
        <w:gridCol w:w="2600"/>
      </w:tblGrid>
      <w:tr w:rsidR="005B2A17" w:rsidRPr="005B2A17" w:rsidTr="005B2A17">
        <w:trPr>
          <w:trHeight w:val="566"/>
        </w:trPr>
        <w:tc>
          <w:tcPr>
            <w:tcW w:w="7823" w:type="dxa"/>
            <w:gridSpan w:val="5"/>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rsidR="005B2A17" w:rsidRPr="005B2A17" w:rsidRDefault="005B2A17" w:rsidP="005B2A17">
            <w:pPr>
              <w:jc w:val="both"/>
              <w:divId w:val="1763528158"/>
              <w:rPr>
                <w:rFonts w:ascii="Verdana" w:hAnsi="Verdana"/>
                <w:sz w:val="20"/>
              </w:rPr>
            </w:pPr>
            <w:r w:rsidRPr="005B2A17">
              <w:rPr>
                <w:rFonts w:ascii="Verdana" w:hAnsi="Verdana"/>
                <w:b/>
                <w:bCs/>
                <w:sz w:val="20"/>
              </w:rPr>
              <w:t>Enlaces de Interconexión para importación/exportación de Centrales Eléctricas interconectadas</w:t>
            </w:r>
            <w:r w:rsidRPr="005B2A17">
              <w:rPr>
                <w:rFonts w:ascii="Verdana" w:hAnsi="Verdana"/>
                <w:sz w:val="20"/>
              </w:rPr>
              <w:br/>
            </w:r>
            <w:r w:rsidRPr="005B2A17">
              <w:rPr>
                <w:rFonts w:ascii="Verdana" w:hAnsi="Verdana"/>
                <w:b/>
                <w:bCs/>
                <w:sz w:val="20"/>
              </w:rPr>
              <w:t>exclusivamente al Sistema Eléctrico Nacional</w:t>
            </w:r>
          </w:p>
        </w:tc>
      </w:tr>
      <w:tr w:rsidR="005B2A17" w:rsidRPr="005B2A17" w:rsidTr="005B2A17">
        <w:trPr>
          <w:trHeight w:val="1199"/>
        </w:trPr>
        <w:tc>
          <w:tcPr>
            <w:tcW w:w="900"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b/>
                <w:bCs/>
                <w:sz w:val="20"/>
              </w:rPr>
              <w:t>Región</w:t>
            </w:r>
          </w:p>
        </w:tc>
        <w:tc>
          <w:tcPr>
            <w:tcW w:w="1710"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b/>
                <w:bCs/>
                <w:sz w:val="20"/>
              </w:rPr>
              <w:t>Enlace México-</w:t>
            </w:r>
            <w:r w:rsidRPr="005B2A17">
              <w:rPr>
                <w:rFonts w:ascii="Verdana" w:hAnsi="Verdana"/>
                <w:sz w:val="20"/>
              </w:rPr>
              <w:br/>
            </w:r>
            <w:r w:rsidRPr="005B2A17">
              <w:rPr>
                <w:rFonts w:ascii="Verdana" w:hAnsi="Verdana"/>
                <w:b/>
                <w:bCs/>
                <w:sz w:val="20"/>
              </w:rPr>
              <w:t>Extranjero</w:t>
            </w:r>
          </w:p>
        </w:tc>
        <w:tc>
          <w:tcPr>
            <w:tcW w:w="1890"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b/>
                <w:bCs/>
                <w:sz w:val="20"/>
              </w:rPr>
              <w:t>Operador del Sistema</w:t>
            </w:r>
            <w:r w:rsidRPr="005B2A17">
              <w:rPr>
                <w:rFonts w:ascii="Verdana" w:hAnsi="Verdana"/>
                <w:sz w:val="20"/>
              </w:rPr>
              <w:br/>
            </w:r>
            <w:proofErr w:type="spellStart"/>
            <w:r w:rsidRPr="005B2A17">
              <w:rPr>
                <w:rFonts w:ascii="Verdana" w:hAnsi="Verdana"/>
                <w:b/>
                <w:bCs/>
                <w:sz w:val="20"/>
              </w:rPr>
              <w:t>EléctricoPaís</w:t>
            </w:r>
            <w:proofErr w:type="spellEnd"/>
          </w:p>
        </w:tc>
        <w:tc>
          <w:tcPr>
            <w:tcW w:w="1350"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b/>
                <w:bCs/>
                <w:sz w:val="20"/>
              </w:rPr>
              <w:t>Tensión (KV)</w:t>
            </w:r>
          </w:p>
        </w:tc>
        <w:tc>
          <w:tcPr>
            <w:tcW w:w="1973"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b/>
                <w:bCs/>
                <w:sz w:val="20"/>
              </w:rPr>
              <w:t>Capacidad de</w:t>
            </w:r>
            <w:r w:rsidRPr="005B2A17">
              <w:rPr>
                <w:rFonts w:ascii="Verdana" w:hAnsi="Verdana"/>
                <w:sz w:val="20"/>
              </w:rPr>
              <w:br/>
            </w:r>
            <w:r w:rsidRPr="005B2A17">
              <w:rPr>
                <w:rFonts w:ascii="Verdana" w:hAnsi="Verdana"/>
                <w:b/>
                <w:bCs/>
                <w:sz w:val="20"/>
              </w:rPr>
              <w:t>Transferencia</w:t>
            </w:r>
            <w:r w:rsidRPr="005B2A17">
              <w:rPr>
                <w:rFonts w:ascii="Verdana" w:hAnsi="Verdana"/>
                <w:sz w:val="20"/>
              </w:rPr>
              <w:br/>
            </w:r>
            <w:r w:rsidRPr="005B2A17">
              <w:rPr>
                <w:rFonts w:ascii="Verdana" w:hAnsi="Verdana"/>
                <w:b/>
                <w:bCs/>
                <w:sz w:val="20"/>
              </w:rPr>
              <w:t>Disponible/Capacidad</w:t>
            </w:r>
            <w:r w:rsidRPr="005B2A17">
              <w:rPr>
                <w:rFonts w:ascii="Verdana" w:hAnsi="Verdana"/>
                <w:sz w:val="20"/>
              </w:rPr>
              <w:br/>
            </w:r>
            <w:r w:rsidRPr="005B2A17">
              <w:rPr>
                <w:rFonts w:ascii="Verdana" w:hAnsi="Verdana"/>
                <w:b/>
                <w:bCs/>
                <w:sz w:val="20"/>
              </w:rPr>
              <w:t>Total de Transferencia</w:t>
            </w:r>
            <w:r w:rsidRPr="005B2A17">
              <w:rPr>
                <w:rFonts w:ascii="Verdana" w:hAnsi="Verdana"/>
                <w:sz w:val="20"/>
              </w:rPr>
              <w:br/>
            </w:r>
            <w:r w:rsidRPr="005B2A17">
              <w:rPr>
                <w:rFonts w:ascii="Verdana" w:hAnsi="Verdana"/>
                <w:b/>
                <w:bCs/>
                <w:sz w:val="20"/>
              </w:rPr>
              <w:t>(MW)1</w:t>
            </w:r>
          </w:p>
        </w:tc>
      </w:tr>
      <w:tr w:rsidR="005B2A17" w:rsidRPr="005B2A17" w:rsidTr="005B2A17">
        <w:trPr>
          <w:trHeight w:val="566"/>
        </w:trPr>
        <w:tc>
          <w:tcPr>
            <w:tcW w:w="9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Noreste</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Cumbres Frontera</w:t>
            </w:r>
            <w:r w:rsidRPr="005B2A17">
              <w:rPr>
                <w:rFonts w:ascii="Verdana" w:hAnsi="Verdana"/>
                <w:sz w:val="20"/>
              </w:rPr>
              <w:br/>
              <w:t>Planta Frontera</w:t>
            </w:r>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FISTERRAEUA</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230</w:t>
            </w:r>
          </w:p>
        </w:tc>
        <w:tc>
          <w:tcPr>
            <w:tcW w:w="197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1593.4/1593.4</w:t>
            </w:r>
          </w:p>
        </w:tc>
      </w:tr>
    </w:tbl>
    <w:p w:rsidR="005B2A17" w:rsidRPr="005B2A17" w:rsidRDefault="005B2A17" w:rsidP="005B2A17">
      <w:pPr>
        <w:jc w:val="both"/>
        <w:rPr>
          <w:rFonts w:ascii="Verdana" w:hAnsi="Verdana"/>
          <w:sz w:val="20"/>
        </w:rPr>
      </w:pPr>
      <w:r w:rsidRPr="005B2A17">
        <w:rPr>
          <w:rFonts w:ascii="Verdana" w:hAnsi="Verdana"/>
          <w:sz w:val="20"/>
        </w:rPr>
        <w:t> </w:t>
      </w:r>
    </w:p>
    <w:p w:rsidR="005B2A17" w:rsidRPr="005B2A17" w:rsidRDefault="005B2A17" w:rsidP="005B2A17">
      <w:pPr>
        <w:jc w:val="both"/>
        <w:rPr>
          <w:rFonts w:ascii="Verdana" w:hAnsi="Verdana"/>
          <w:sz w:val="20"/>
        </w:rPr>
      </w:pPr>
      <w:r w:rsidRPr="005B2A17">
        <w:rPr>
          <w:rFonts w:ascii="Verdana" w:hAnsi="Verdana"/>
          <w:b/>
          <w:bCs/>
          <w:sz w:val="20"/>
        </w:rPr>
        <w:t>2.4</w:t>
      </w:r>
      <w:r w:rsidRPr="005B2A17">
        <w:rPr>
          <w:rFonts w:ascii="Verdana" w:hAnsi="Verdana"/>
          <w:sz w:val="20"/>
        </w:rPr>
        <w:t>      </w:t>
      </w:r>
      <w:r w:rsidRPr="005B2A17">
        <w:rPr>
          <w:rFonts w:ascii="Verdana" w:hAnsi="Verdana"/>
          <w:b/>
          <w:bCs/>
          <w:sz w:val="20"/>
        </w:rPr>
        <w:t>Enlaces de Interconexión para importación y exportación por Confiabilidad y/o emergencia</w:t>
      </w:r>
    </w:p>
    <w:p w:rsidR="005B2A17" w:rsidRPr="005B2A17" w:rsidRDefault="005B2A17" w:rsidP="005B2A17">
      <w:pPr>
        <w:jc w:val="both"/>
        <w:rPr>
          <w:rFonts w:ascii="Verdana" w:hAnsi="Verdana"/>
          <w:sz w:val="20"/>
        </w:rPr>
      </w:pPr>
      <w:r w:rsidRPr="005B2A17">
        <w:rPr>
          <w:rFonts w:ascii="Verdana" w:hAnsi="Verdana"/>
          <w:b/>
          <w:bCs/>
          <w:sz w:val="20"/>
        </w:rPr>
        <w:t>2.4.1</w:t>
      </w:r>
      <w:r w:rsidRPr="005B2A17">
        <w:rPr>
          <w:rFonts w:ascii="Verdana" w:hAnsi="Verdana"/>
          <w:sz w:val="20"/>
        </w:rPr>
        <w:t>   Únicamente el CENACE podrá importar o exportar energía y/o Servicios Conexos por Confiabilidad y/o emergencia del Sistema Eléctrico Nacional. En estos casos, el CENACE podrá usar todos los Enlaces de Interconexión para importación y exportación comercial, los Enlaces de Interconexión para importación de Centrales Eléctricas conectadas exclusivamente al Sistema Eléctrico Nacional y los Enlaces de Interconexión para importación y exportación por Confiabilidad y/o emergencia.</w:t>
      </w:r>
    </w:p>
    <w:p w:rsidR="005B2A17" w:rsidRPr="005B2A17" w:rsidRDefault="005B2A17" w:rsidP="005B2A17">
      <w:pPr>
        <w:jc w:val="both"/>
        <w:rPr>
          <w:rFonts w:ascii="Verdana" w:hAnsi="Verdana"/>
          <w:sz w:val="20"/>
        </w:rPr>
      </w:pPr>
      <w:r w:rsidRPr="005B2A17">
        <w:rPr>
          <w:rFonts w:ascii="Verdana" w:hAnsi="Verdana"/>
          <w:b/>
          <w:bCs/>
          <w:sz w:val="20"/>
        </w:rPr>
        <w:t>2.4.2</w:t>
      </w:r>
      <w:r w:rsidRPr="005B2A17">
        <w:rPr>
          <w:rFonts w:ascii="Verdana" w:hAnsi="Verdana"/>
          <w:sz w:val="20"/>
        </w:rPr>
        <w:t>   Los enlaces para importación/exportación por Confiabilidad y/o emergencia son los siguientes:</w:t>
      </w:r>
    </w:p>
    <w:tbl>
      <w:tblPr>
        <w:tblW w:w="0" w:type="auto"/>
        <w:tblInd w:w="900" w:type="dxa"/>
        <w:shd w:val="clear" w:color="auto" w:fill="FFFFFF"/>
        <w:tblCellMar>
          <w:top w:w="15" w:type="dxa"/>
          <w:left w:w="15" w:type="dxa"/>
          <w:bottom w:w="15" w:type="dxa"/>
          <w:right w:w="15" w:type="dxa"/>
        </w:tblCellMar>
        <w:tblLook w:val="04A0" w:firstRow="1" w:lastRow="0" w:firstColumn="1" w:lastColumn="0" w:noHBand="0" w:noVBand="1"/>
      </w:tblPr>
      <w:tblGrid>
        <w:gridCol w:w="941"/>
        <w:gridCol w:w="2040"/>
        <w:gridCol w:w="1638"/>
        <w:gridCol w:w="883"/>
        <w:gridCol w:w="1269"/>
        <w:gridCol w:w="1311"/>
      </w:tblGrid>
      <w:tr w:rsidR="005B2A17" w:rsidRPr="005B2A17" w:rsidTr="005B2A17">
        <w:trPr>
          <w:trHeight w:val="352"/>
        </w:trPr>
        <w:tc>
          <w:tcPr>
            <w:tcW w:w="7920" w:type="dxa"/>
            <w:gridSpan w:val="6"/>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rsidR="005B2A17" w:rsidRPr="005B2A17" w:rsidRDefault="005B2A17" w:rsidP="005B2A17">
            <w:pPr>
              <w:jc w:val="both"/>
              <w:divId w:val="1476289838"/>
              <w:rPr>
                <w:rFonts w:ascii="Verdana" w:hAnsi="Verdana"/>
                <w:sz w:val="20"/>
              </w:rPr>
            </w:pPr>
            <w:r w:rsidRPr="005B2A17">
              <w:rPr>
                <w:rFonts w:ascii="Verdana" w:hAnsi="Verdana"/>
                <w:b/>
                <w:bCs/>
                <w:sz w:val="20"/>
              </w:rPr>
              <w:t>Enlaces de Interconexión para importación y exportación por Confiabilidad y/o emergencia</w:t>
            </w:r>
          </w:p>
        </w:tc>
      </w:tr>
      <w:tr w:rsidR="005B2A17" w:rsidRPr="005B2A17" w:rsidTr="005B2A17">
        <w:trPr>
          <w:trHeight w:val="769"/>
        </w:trPr>
        <w:tc>
          <w:tcPr>
            <w:tcW w:w="990" w:type="dxa"/>
            <w:vMerge w:val="restart"/>
            <w:tcBorders>
              <w:top w:val="single" w:sz="6" w:space="0" w:color="000000"/>
              <w:left w:val="single" w:sz="6" w:space="0" w:color="000000"/>
              <w:right w:val="single" w:sz="6" w:space="0" w:color="000000"/>
            </w:tcBorders>
            <w:shd w:val="clear" w:color="auto" w:fill="E0E0E0"/>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b/>
                <w:bCs/>
                <w:sz w:val="20"/>
              </w:rPr>
              <w:t>Región</w:t>
            </w:r>
          </w:p>
        </w:tc>
        <w:tc>
          <w:tcPr>
            <w:tcW w:w="1890" w:type="dxa"/>
            <w:vMerge w:val="restart"/>
            <w:tcBorders>
              <w:top w:val="single" w:sz="6" w:space="0" w:color="000000"/>
              <w:left w:val="single" w:sz="6" w:space="0" w:color="000000"/>
              <w:right w:val="single" w:sz="6" w:space="0" w:color="000000"/>
            </w:tcBorders>
            <w:shd w:val="clear" w:color="auto" w:fill="E0E0E0"/>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b/>
                <w:bCs/>
                <w:sz w:val="20"/>
              </w:rPr>
              <w:t>Enlace México</w:t>
            </w:r>
            <w:r w:rsidRPr="005B2A17">
              <w:rPr>
                <w:rFonts w:ascii="Verdana" w:hAnsi="Verdana"/>
                <w:sz w:val="20"/>
              </w:rPr>
              <w:br/>
            </w:r>
            <w:r w:rsidRPr="005B2A17">
              <w:rPr>
                <w:rFonts w:ascii="Verdana" w:hAnsi="Verdana"/>
                <w:b/>
                <w:bCs/>
                <w:sz w:val="20"/>
              </w:rPr>
              <w:t>Extranjero</w:t>
            </w:r>
          </w:p>
        </w:tc>
        <w:tc>
          <w:tcPr>
            <w:tcW w:w="1652" w:type="dxa"/>
            <w:vMerge w:val="restart"/>
            <w:tcBorders>
              <w:top w:val="single" w:sz="6" w:space="0" w:color="000000"/>
              <w:left w:val="single" w:sz="6" w:space="0" w:color="000000"/>
              <w:right w:val="single" w:sz="6" w:space="0" w:color="000000"/>
            </w:tcBorders>
            <w:shd w:val="clear" w:color="auto" w:fill="E0E0E0"/>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b/>
                <w:bCs/>
                <w:sz w:val="20"/>
              </w:rPr>
              <w:t>Operador del</w:t>
            </w:r>
            <w:r w:rsidRPr="005B2A17">
              <w:rPr>
                <w:rFonts w:ascii="Verdana" w:hAnsi="Verdana"/>
                <w:sz w:val="20"/>
              </w:rPr>
              <w:br/>
            </w:r>
            <w:r w:rsidRPr="005B2A17">
              <w:rPr>
                <w:rFonts w:ascii="Verdana" w:hAnsi="Verdana"/>
                <w:b/>
                <w:bCs/>
                <w:sz w:val="20"/>
              </w:rPr>
              <w:t>Sistema Eléctrico-</w:t>
            </w:r>
            <w:r w:rsidRPr="005B2A17">
              <w:rPr>
                <w:rFonts w:ascii="Verdana" w:hAnsi="Verdana"/>
                <w:sz w:val="20"/>
              </w:rPr>
              <w:br/>
            </w:r>
            <w:r w:rsidRPr="005B2A17">
              <w:rPr>
                <w:rFonts w:ascii="Verdana" w:hAnsi="Verdana"/>
                <w:b/>
                <w:bCs/>
                <w:sz w:val="20"/>
              </w:rPr>
              <w:t>País</w:t>
            </w:r>
          </w:p>
        </w:tc>
        <w:tc>
          <w:tcPr>
            <w:tcW w:w="868" w:type="dxa"/>
            <w:vMerge w:val="restart"/>
            <w:tcBorders>
              <w:top w:val="single" w:sz="6" w:space="0" w:color="000000"/>
              <w:left w:val="single" w:sz="6" w:space="0" w:color="000000"/>
              <w:right w:val="single" w:sz="6" w:space="0" w:color="000000"/>
            </w:tcBorders>
            <w:shd w:val="clear" w:color="auto" w:fill="E0E0E0"/>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b/>
                <w:bCs/>
                <w:sz w:val="20"/>
              </w:rPr>
              <w:t>Tensión</w:t>
            </w:r>
            <w:r w:rsidRPr="005B2A17">
              <w:rPr>
                <w:rFonts w:ascii="Verdana" w:hAnsi="Verdana"/>
                <w:sz w:val="20"/>
              </w:rPr>
              <w:br/>
            </w:r>
            <w:r w:rsidRPr="005B2A17">
              <w:rPr>
                <w:rFonts w:ascii="Verdana" w:hAnsi="Verdana"/>
                <w:b/>
                <w:bCs/>
                <w:sz w:val="20"/>
              </w:rPr>
              <w:t>(KV)</w:t>
            </w:r>
          </w:p>
        </w:tc>
        <w:tc>
          <w:tcPr>
            <w:tcW w:w="2520" w:type="dxa"/>
            <w:gridSpan w:val="2"/>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b/>
                <w:bCs/>
                <w:sz w:val="20"/>
              </w:rPr>
              <w:t>Capacidad de Transferencia</w:t>
            </w:r>
            <w:r w:rsidRPr="005B2A17">
              <w:rPr>
                <w:rFonts w:ascii="Verdana" w:hAnsi="Verdana"/>
                <w:sz w:val="20"/>
              </w:rPr>
              <w:br/>
            </w:r>
            <w:r w:rsidRPr="005B2A17">
              <w:rPr>
                <w:rFonts w:ascii="Verdana" w:hAnsi="Verdana"/>
                <w:b/>
                <w:bCs/>
                <w:sz w:val="20"/>
              </w:rPr>
              <w:t>Disponible/Capacidad Total de</w:t>
            </w:r>
            <w:r w:rsidRPr="005B2A17">
              <w:rPr>
                <w:rFonts w:ascii="Verdana" w:hAnsi="Verdana"/>
                <w:sz w:val="20"/>
              </w:rPr>
              <w:br/>
            </w:r>
            <w:r w:rsidRPr="005B2A17">
              <w:rPr>
                <w:rFonts w:ascii="Verdana" w:hAnsi="Verdana"/>
                <w:b/>
                <w:bCs/>
                <w:sz w:val="20"/>
              </w:rPr>
              <w:t>Transferencia (MW)</w:t>
            </w:r>
          </w:p>
        </w:tc>
      </w:tr>
      <w:tr w:rsidR="005B2A17" w:rsidRPr="005B2A17" w:rsidTr="005B2A17">
        <w:trPr>
          <w:trHeight w:val="337"/>
        </w:trPr>
        <w:tc>
          <w:tcPr>
            <w:tcW w:w="0" w:type="auto"/>
            <w:vMerge/>
            <w:tcBorders>
              <w:top w:val="single" w:sz="6" w:space="0" w:color="000000"/>
              <w:left w:val="single" w:sz="6" w:space="0" w:color="000000"/>
              <w:right w:val="single" w:sz="6" w:space="0" w:color="000000"/>
            </w:tcBorders>
            <w:shd w:val="clear" w:color="auto" w:fill="FFFFFF"/>
            <w:vAlign w:val="center"/>
            <w:hideMark/>
          </w:tcPr>
          <w:p w:rsidR="005B2A17" w:rsidRPr="005B2A17" w:rsidRDefault="005B2A17" w:rsidP="005B2A17">
            <w:pPr>
              <w:jc w:val="both"/>
              <w:rPr>
                <w:rFonts w:ascii="Verdana" w:hAnsi="Verdana"/>
                <w:sz w:val="20"/>
              </w:rPr>
            </w:pP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5B2A17" w:rsidRPr="005B2A17" w:rsidRDefault="005B2A17" w:rsidP="005B2A17">
            <w:pPr>
              <w:jc w:val="both"/>
              <w:rPr>
                <w:rFonts w:ascii="Verdana" w:hAnsi="Verdana"/>
                <w:sz w:val="20"/>
              </w:rPr>
            </w:pP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5B2A17" w:rsidRPr="005B2A17" w:rsidRDefault="005B2A17" w:rsidP="005B2A17">
            <w:pPr>
              <w:jc w:val="both"/>
              <w:rPr>
                <w:rFonts w:ascii="Verdana" w:hAnsi="Verdana"/>
                <w:sz w:val="20"/>
              </w:rPr>
            </w:pP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5B2A17" w:rsidRPr="005B2A17" w:rsidRDefault="005B2A17" w:rsidP="005B2A17">
            <w:pPr>
              <w:jc w:val="both"/>
              <w:rPr>
                <w:rFonts w:ascii="Verdana" w:hAnsi="Verdana"/>
                <w:sz w:val="20"/>
              </w:rPr>
            </w:pPr>
          </w:p>
        </w:tc>
        <w:tc>
          <w:tcPr>
            <w:tcW w:w="1279"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b/>
                <w:bCs/>
                <w:sz w:val="20"/>
              </w:rPr>
              <w:t>Exportación</w:t>
            </w:r>
          </w:p>
        </w:tc>
        <w:tc>
          <w:tcPr>
            <w:tcW w:w="1241"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b/>
                <w:bCs/>
                <w:sz w:val="20"/>
              </w:rPr>
              <w:t>Importación</w:t>
            </w:r>
          </w:p>
        </w:tc>
      </w:tr>
      <w:tr w:rsidR="005B2A17" w:rsidRPr="005B2A17" w:rsidTr="005B2A17">
        <w:trPr>
          <w:trHeight w:val="337"/>
        </w:trPr>
        <w:tc>
          <w:tcPr>
            <w:tcW w:w="990"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Norte</w:t>
            </w:r>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proofErr w:type="spellStart"/>
            <w:r w:rsidRPr="005B2A17">
              <w:rPr>
                <w:rFonts w:ascii="Verdana" w:hAnsi="Verdana"/>
                <w:sz w:val="20"/>
              </w:rPr>
              <w:t>OjinagaGonzález</w:t>
            </w:r>
            <w:proofErr w:type="spellEnd"/>
          </w:p>
        </w:tc>
        <w:tc>
          <w:tcPr>
            <w:tcW w:w="16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ERCOT-EUA</w:t>
            </w:r>
          </w:p>
        </w:tc>
        <w:tc>
          <w:tcPr>
            <w:tcW w:w="8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12.8</w:t>
            </w:r>
          </w:p>
        </w:tc>
        <w:tc>
          <w:tcPr>
            <w:tcW w:w="1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3/3</w:t>
            </w:r>
          </w:p>
        </w:tc>
        <w:tc>
          <w:tcPr>
            <w:tcW w:w="12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3/3</w:t>
            </w:r>
          </w:p>
        </w:tc>
      </w:tr>
      <w:tr w:rsidR="005B2A17" w:rsidRPr="005B2A17" w:rsidTr="005B2A17">
        <w:trPr>
          <w:trHeight w:val="769"/>
        </w:trPr>
        <w:tc>
          <w:tcPr>
            <w:tcW w:w="0" w:type="auto"/>
            <w:vMerge/>
            <w:tcBorders>
              <w:top w:val="single" w:sz="6" w:space="0" w:color="000000"/>
              <w:left w:val="single" w:sz="6" w:space="0" w:color="000000"/>
              <w:right w:val="single" w:sz="6" w:space="0" w:color="000000"/>
            </w:tcBorders>
            <w:shd w:val="clear" w:color="auto" w:fill="FFFFFF"/>
            <w:vAlign w:val="center"/>
            <w:hideMark/>
          </w:tcPr>
          <w:p w:rsidR="005B2A17" w:rsidRPr="005B2A17" w:rsidRDefault="005B2A17" w:rsidP="005B2A17">
            <w:pPr>
              <w:jc w:val="both"/>
              <w:rPr>
                <w:rFonts w:ascii="Verdana" w:hAnsi="Verdana"/>
                <w:sz w:val="20"/>
              </w:rPr>
            </w:pPr>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proofErr w:type="spellStart"/>
            <w:r w:rsidRPr="005B2A17">
              <w:rPr>
                <w:rFonts w:ascii="Verdana" w:hAnsi="Verdana"/>
                <w:sz w:val="20"/>
              </w:rPr>
              <w:t>ANAPRADiablo</w:t>
            </w:r>
            <w:proofErr w:type="spellEnd"/>
          </w:p>
        </w:tc>
        <w:tc>
          <w:tcPr>
            <w:tcW w:w="16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El Paso Electric</w:t>
            </w:r>
            <w:r w:rsidRPr="005B2A17">
              <w:rPr>
                <w:rFonts w:ascii="Verdana" w:hAnsi="Verdana"/>
                <w:sz w:val="20"/>
              </w:rPr>
              <w:br/>
            </w:r>
            <w:proofErr w:type="spellStart"/>
            <w:r w:rsidRPr="005B2A17">
              <w:rPr>
                <w:rFonts w:ascii="Verdana" w:hAnsi="Verdana"/>
                <w:sz w:val="20"/>
              </w:rPr>
              <w:t>Company</w:t>
            </w:r>
            <w:proofErr w:type="spellEnd"/>
            <w:r w:rsidRPr="005B2A17">
              <w:rPr>
                <w:rFonts w:ascii="Verdana" w:hAnsi="Verdana"/>
                <w:sz w:val="20"/>
              </w:rPr>
              <w:t> EPECO-</w:t>
            </w:r>
            <w:r w:rsidRPr="005B2A17">
              <w:rPr>
                <w:rFonts w:ascii="Verdana" w:hAnsi="Verdana"/>
                <w:sz w:val="20"/>
              </w:rPr>
              <w:br/>
              <w:t>EUA</w:t>
            </w:r>
          </w:p>
        </w:tc>
        <w:tc>
          <w:tcPr>
            <w:tcW w:w="8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115</w:t>
            </w:r>
          </w:p>
        </w:tc>
        <w:tc>
          <w:tcPr>
            <w:tcW w:w="1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100/100</w:t>
            </w:r>
          </w:p>
        </w:tc>
        <w:tc>
          <w:tcPr>
            <w:tcW w:w="12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100/100</w:t>
            </w:r>
          </w:p>
        </w:tc>
      </w:tr>
      <w:tr w:rsidR="005B2A17" w:rsidRPr="005B2A17" w:rsidTr="005B2A17">
        <w:trPr>
          <w:trHeight w:val="769"/>
        </w:trPr>
        <w:tc>
          <w:tcPr>
            <w:tcW w:w="0" w:type="auto"/>
            <w:vMerge/>
            <w:tcBorders>
              <w:top w:val="single" w:sz="6" w:space="0" w:color="000000"/>
              <w:left w:val="single" w:sz="6" w:space="0" w:color="000000"/>
              <w:right w:val="single" w:sz="6" w:space="0" w:color="000000"/>
            </w:tcBorders>
            <w:shd w:val="clear" w:color="auto" w:fill="FFFFFF"/>
            <w:vAlign w:val="center"/>
            <w:hideMark/>
          </w:tcPr>
          <w:p w:rsidR="005B2A17" w:rsidRPr="005B2A17" w:rsidRDefault="005B2A17" w:rsidP="005B2A17">
            <w:pPr>
              <w:jc w:val="both"/>
              <w:rPr>
                <w:rFonts w:ascii="Verdana" w:hAnsi="Verdana"/>
                <w:sz w:val="20"/>
              </w:rPr>
            </w:pPr>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proofErr w:type="spellStart"/>
            <w:r w:rsidRPr="005B2A17">
              <w:rPr>
                <w:rFonts w:ascii="Verdana" w:hAnsi="Verdana"/>
                <w:sz w:val="20"/>
              </w:rPr>
              <w:t>RivereñaAzcárate</w:t>
            </w:r>
            <w:proofErr w:type="spellEnd"/>
          </w:p>
        </w:tc>
        <w:tc>
          <w:tcPr>
            <w:tcW w:w="16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El Paso Electric</w:t>
            </w:r>
            <w:r w:rsidRPr="005B2A17">
              <w:rPr>
                <w:rFonts w:ascii="Verdana" w:hAnsi="Verdana"/>
                <w:sz w:val="20"/>
              </w:rPr>
              <w:br/>
            </w:r>
            <w:proofErr w:type="spellStart"/>
            <w:r w:rsidRPr="005B2A17">
              <w:rPr>
                <w:rFonts w:ascii="Verdana" w:hAnsi="Verdana"/>
                <w:sz w:val="20"/>
              </w:rPr>
              <w:t>Company</w:t>
            </w:r>
            <w:proofErr w:type="spellEnd"/>
            <w:r w:rsidRPr="005B2A17">
              <w:rPr>
                <w:rFonts w:ascii="Verdana" w:hAnsi="Verdana"/>
                <w:sz w:val="20"/>
              </w:rPr>
              <w:t> EPECO-</w:t>
            </w:r>
            <w:r w:rsidRPr="005B2A17">
              <w:rPr>
                <w:rFonts w:ascii="Verdana" w:hAnsi="Verdana"/>
                <w:sz w:val="20"/>
              </w:rPr>
              <w:br/>
              <w:t>EUA</w:t>
            </w:r>
          </w:p>
        </w:tc>
        <w:tc>
          <w:tcPr>
            <w:tcW w:w="8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115</w:t>
            </w:r>
          </w:p>
        </w:tc>
        <w:tc>
          <w:tcPr>
            <w:tcW w:w="1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100/100</w:t>
            </w:r>
          </w:p>
        </w:tc>
        <w:tc>
          <w:tcPr>
            <w:tcW w:w="12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100/100</w:t>
            </w:r>
          </w:p>
        </w:tc>
      </w:tr>
      <w:tr w:rsidR="005B2A17" w:rsidRPr="005B2A17" w:rsidTr="005B2A17">
        <w:trPr>
          <w:trHeight w:val="553"/>
        </w:trPr>
        <w:tc>
          <w:tcPr>
            <w:tcW w:w="990"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Noreste</w:t>
            </w:r>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proofErr w:type="spellStart"/>
            <w:r w:rsidRPr="005B2A17">
              <w:rPr>
                <w:rFonts w:ascii="Verdana" w:hAnsi="Verdana"/>
                <w:sz w:val="20"/>
              </w:rPr>
              <w:t>MatamorosMilitary</w:t>
            </w:r>
            <w:proofErr w:type="spellEnd"/>
            <w:r w:rsidRPr="005B2A17">
              <w:rPr>
                <w:rFonts w:ascii="Verdana" w:hAnsi="Verdana"/>
                <w:sz w:val="20"/>
              </w:rPr>
              <w:br/>
            </w:r>
            <w:proofErr w:type="spellStart"/>
            <w:r w:rsidRPr="005B2A17">
              <w:rPr>
                <w:rFonts w:ascii="Verdana" w:hAnsi="Verdana"/>
                <w:sz w:val="20"/>
              </w:rPr>
              <w:t>Highway</w:t>
            </w:r>
            <w:proofErr w:type="spellEnd"/>
          </w:p>
        </w:tc>
        <w:tc>
          <w:tcPr>
            <w:tcW w:w="16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ERCOT-EUA</w:t>
            </w:r>
          </w:p>
        </w:tc>
        <w:tc>
          <w:tcPr>
            <w:tcW w:w="8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138</w:t>
            </w:r>
          </w:p>
        </w:tc>
        <w:tc>
          <w:tcPr>
            <w:tcW w:w="1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80/80</w:t>
            </w:r>
          </w:p>
        </w:tc>
        <w:tc>
          <w:tcPr>
            <w:tcW w:w="12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80/80</w:t>
            </w:r>
          </w:p>
        </w:tc>
      </w:tr>
      <w:tr w:rsidR="005B2A17" w:rsidRPr="005B2A17" w:rsidTr="005B2A17">
        <w:trPr>
          <w:trHeight w:val="337"/>
        </w:trPr>
        <w:tc>
          <w:tcPr>
            <w:tcW w:w="0" w:type="auto"/>
            <w:vMerge/>
            <w:tcBorders>
              <w:top w:val="single" w:sz="6" w:space="0" w:color="000000"/>
              <w:left w:val="single" w:sz="6" w:space="0" w:color="000000"/>
              <w:right w:val="single" w:sz="6" w:space="0" w:color="000000"/>
            </w:tcBorders>
            <w:shd w:val="clear" w:color="auto" w:fill="FFFFFF"/>
            <w:vAlign w:val="center"/>
            <w:hideMark/>
          </w:tcPr>
          <w:p w:rsidR="005B2A17" w:rsidRPr="005B2A17" w:rsidRDefault="005B2A17" w:rsidP="005B2A17">
            <w:pPr>
              <w:jc w:val="both"/>
              <w:rPr>
                <w:rFonts w:ascii="Verdana" w:hAnsi="Verdana"/>
                <w:sz w:val="20"/>
              </w:rPr>
            </w:pPr>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proofErr w:type="spellStart"/>
            <w:r w:rsidRPr="005B2A17">
              <w:rPr>
                <w:rFonts w:ascii="Verdana" w:hAnsi="Verdana"/>
                <w:sz w:val="20"/>
              </w:rPr>
              <w:t>MatamorosBrownsville</w:t>
            </w:r>
            <w:proofErr w:type="spellEnd"/>
          </w:p>
        </w:tc>
        <w:tc>
          <w:tcPr>
            <w:tcW w:w="16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ERCOT-EUA</w:t>
            </w:r>
          </w:p>
        </w:tc>
        <w:tc>
          <w:tcPr>
            <w:tcW w:w="8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69</w:t>
            </w:r>
          </w:p>
        </w:tc>
        <w:tc>
          <w:tcPr>
            <w:tcW w:w="1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25/25</w:t>
            </w:r>
          </w:p>
        </w:tc>
        <w:tc>
          <w:tcPr>
            <w:tcW w:w="12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24/25</w:t>
            </w:r>
          </w:p>
        </w:tc>
      </w:tr>
      <w:tr w:rsidR="005B2A17" w:rsidRPr="005B2A17" w:rsidTr="005B2A17">
        <w:trPr>
          <w:trHeight w:val="568"/>
        </w:trPr>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Baja</w:t>
            </w:r>
            <w:r w:rsidRPr="005B2A17">
              <w:rPr>
                <w:rFonts w:ascii="Verdana" w:hAnsi="Verdana"/>
                <w:sz w:val="20"/>
              </w:rPr>
              <w:br/>
              <w:t>California</w:t>
            </w:r>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Ruiz Cortines-San Luis</w:t>
            </w:r>
            <w:r w:rsidRPr="005B2A17">
              <w:rPr>
                <w:rFonts w:ascii="Verdana" w:hAnsi="Verdana"/>
                <w:sz w:val="20"/>
              </w:rPr>
              <w:br/>
            </w:r>
            <w:proofErr w:type="spellStart"/>
            <w:r w:rsidRPr="005B2A17">
              <w:rPr>
                <w:rFonts w:ascii="Verdana" w:hAnsi="Verdana"/>
                <w:sz w:val="20"/>
              </w:rPr>
              <w:t>Substation</w:t>
            </w:r>
            <w:proofErr w:type="spellEnd"/>
          </w:p>
        </w:tc>
        <w:tc>
          <w:tcPr>
            <w:tcW w:w="16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 xml:space="preserve">Arizona </w:t>
            </w:r>
            <w:proofErr w:type="spellStart"/>
            <w:r w:rsidRPr="005B2A17">
              <w:rPr>
                <w:rFonts w:ascii="Verdana" w:hAnsi="Verdana"/>
                <w:sz w:val="20"/>
              </w:rPr>
              <w:t>Public</w:t>
            </w:r>
            <w:proofErr w:type="spellEnd"/>
            <w:r w:rsidRPr="005B2A17">
              <w:rPr>
                <w:rFonts w:ascii="Verdana" w:hAnsi="Verdana"/>
                <w:sz w:val="20"/>
              </w:rPr>
              <w:br/>
            </w:r>
            <w:proofErr w:type="spellStart"/>
            <w:r w:rsidRPr="005B2A17">
              <w:rPr>
                <w:rFonts w:ascii="Verdana" w:hAnsi="Verdana"/>
                <w:sz w:val="20"/>
              </w:rPr>
              <w:t>Service</w:t>
            </w:r>
            <w:proofErr w:type="spellEnd"/>
            <w:r w:rsidRPr="005B2A17">
              <w:rPr>
                <w:rFonts w:ascii="Verdana" w:hAnsi="Verdana"/>
                <w:sz w:val="20"/>
              </w:rPr>
              <w:t xml:space="preserve"> (APS)/EUA</w:t>
            </w:r>
          </w:p>
        </w:tc>
        <w:tc>
          <w:tcPr>
            <w:tcW w:w="8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34.5</w:t>
            </w:r>
          </w:p>
        </w:tc>
        <w:tc>
          <w:tcPr>
            <w:tcW w:w="1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20</w:t>
            </w:r>
          </w:p>
        </w:tc>
        <w:tc>
          <w:tcPr>
            <w:tcW w:w="12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20</w:t>
            </w:r>
          </w:p>
        </w:tc>
      </w:tr>
    </w:tbl>
    <w:p w:rsidR="005B2A17" w:rsidRPr="005B2A17" w:rsidRDefault="005B2A17" w:rsidP="005B2A17">
      <w:pPr>
        <w:jc w:val="both"/>
        <w:rPr>
          <w:rFonts w:ascii="Verdana" w:hAnsi="Verdana"/>
          <w:sz w:val="20"/>
        </w:rPr>
      </w:pPr>
      <w:r w:rsidRPr="005B2A17">
        <w:rPr>
          <w:rFonts w:ascii="Verdana" w:hAnsi="Verdana"/>
          <w:sz w:val="20"/>
        </w:rPr>
        <w:t> </w:t>
      </w:r>
    </w:p>
    <w:p w:rsidR="005B2A17" w:rsidRPr="005B2A17" w:rsidRDefault="005B2A17" w:rsidP="005B2A17">
      <w:pPr>
        <w:jc w:val="both"/>
        <w:rPr>
          <w:rFonts w:ascii="Verdana" w:hAnsi="Verdana"/>
          <w:sz w:val="20"/>
        </w:rPr>
      </w:pPr>
      <w:r w:rsidRPr="005B2A17">
        <w:rPr>
          <w:rFonts w:ascii="Verdana" w:hAnsi="Verdana"/>
          <w:b/>
          <w:bCs/>
          <w:sz w:val="20"/>
        </w:rPr>
        <w:t>2.5</w:t>
      </w:r>
      <w:r w:rsidRPr="005B2A17">
        <w:rPr>
          <w:rFonts w:ascii="Verdana" w:hAnsi="Verdana"/>
          <w:sz w:val="20"/>
        </w:rPr>
        <w:t>      </w:t>
      </w:r>
      <w:r w:rsidRPr="005B2A17">
        <w:rPr>
          <w:rFonts w:ascii="Verdana" w:hAnsi="Verdana"/>
          <w:b/>
          <w:bCs/>
          <w:sz w:val="20"/>
        </w:rPr>
        <w:t>Enlaces de Interconexión para exportación a Centros de Carga conectados exclusivamente al Sistema Eléctrico Nacional</w:t>
      </w:r>
    </w:p>
    <w:p w:rsidR="005B2A17" w:rsidRPr="005B2A17" w:rsidRDefault="005B2A17" w:rsidP="005B2A17">
      <w:pPr>
        <w:jc w:val="both"/>
        <w:rPr>
          <w:rFonts w:ascii="Verdana" w:hAnsi="Verdana"/>
          <w:sz w:val="20"/>
        </w:rPr>
      </w:pPr>
      <w:r w:rsidRPr="005B2A17">
        <w:rPr>
          <w:rFonts w:ascii="Verdana" w:hAnsi="Verdana"/>
          <w:b/>
          <w:bCs/>
          <w:sz w:val="20"/>
        </w:rPr>
        <w:t>2.5.1</w:t>
      </w:r>
      <w:r w:rsidRPr="005B2A17">
        <w:rPr>
          <w:rFonts w:ascii="Verdana" w:hAnsi="Verdana"/>
          <w:sz w:val="20"/>
        </w:rPr>
        <w:t>    Los Centros de Carga localizados en el extranjero y conectados exclusivamente al Sistema Eléctrico Nacional no se consideran Abasto Aislado.</w:t>
      </w:r>
    </w:p>
    <w:p w:rsidR="005B2A17" w:rsidRPr="005B2A17" w:rsidRDefault="005B2A17" w:rsidP="005B2A17">
      <w:pPr>
        <w:jc w:val="both"/>
        <w:rPr>
          <w:rFonts w:ascii="Verdana" w:hAnsi="Verdana"/>
          <w:sz w:val="20"/>
        </w:rPr>
      </w:pPr>
      <w:r w:rsidRPr="005B2A17">
        <w:rPr>
          <w:rFonts w:ascii="Verdana" w:hAnsi="Verdana"/>
          <w:b/>
          <w:bCs/>
          <w:sz w:val="20"/>
        </w:rPr>
        <w:t>2.5.2</w:t>
      </w:r>
      <w:r w:rsidRPr="005B2A17">
        <w:rPr>
          <w:rFonts w:ascii="Verdana" w:hAnsi="Verdana"/>
          <w:sz w:val="20"/>
        </w:rPr>
        <w:t>    La exportación a los Centros de Carga localizados en el extranjero y conectados exclusivamente al Sistema Eléctrico Nacional no será programada por medio de una Etiqueta Electrónica.</w:t>
      </w:r>
    </w:p>
    <w:p w:rsidR="005B2A17" w:rsidRPr="005B2A17" w:rsidRDefault="005B2A17" w:rsidP="005B2A17">
      <w:pPr>
        <w:jc w:val="both"/>
        <w:rPr>
          <w:rFonts w:ascii="Verdana" w:hAnsi="Verdana"/>
          <w:sz w:val="20"/>
        </w:rPr>
      </w:pPr>
      <w:r w:rsidRPr="005B2A17">
        <w:rPr>
          <w:rFonts w:ascii="Verdana" w:hAnsi="Verdana"/>
          <w:b/>
          <w:bCs/>
          <w:sz w:val="20"/>
        </w:rPr>
        <w:t>2.5.3</w:t>
      </w:r>
      <w:r w:rsidRPr="005B2A17">
        <w:rPr>
          <w:rFonts w:ascii="Verdana" w:hAnsi="Verdana"/>
          <w:sz w:val="20"/>
        </w:rPr>
        <w:t>    Los Centros de Carga localizados en el extranjero y conectados exclusivamente al Sistema Eléctrico Nacional podrán ser representados en el Mercado Eléctrico Mayorista por un Suministrador o, en su caso, por un Usuario Calificado Participante de Mercado.</w:t>
      </w:r>
    </w:p>
    <w:p w:rsidR="005B2A17" w:rsidRPr="005B2A17" w:rsidRDefault="005B2A17" w:rsidP="005B2A17">
      <w:pPr>
        <w:jc w:val="both"/>
        <w:rPr>
          <w:rFonts w:ascii="Verdana" w:hAnsi="Verdana"/>
          <w:sz w:val="20"/>
        </w:rPr>
      </w:pPr>
      <w:r w:rsidRPr="005B2A17">
        <w:rPr>
          <w:rFonts w:ascii="Verdana" w:hAnsi="Verdana"/>
          <w:b/>
          <w:bCs/>
          <w:sz w:val="20"/>
        </w:rPr>
        <w:t>2.5.4</w:t>
      </w:r>
      <w:r w:rsidRPr="005B2A17">
        <w:rPr>
          <w:rFonts w:ascii="Verdana" w:hAnsi="Verdana"/>
          <w:sz w:val="20"/>
        </w:rPr>
        <w:t>    El presente manual no regula las ventas que se realicen a los Usuarios Finales en el extranjero; sin embargo, la SENER, la CRE o el CENACE podrán solicitar información en relación con las ventas de la energía exportada para fines estadísticos.</w:t>
      </w:r>
    </w:p>
    <w:p w:rsidR="005B2A17" w:rsidRPr="005B2A17" w:rsidRDefault="005B2A17" w:rsidP="005B2A17">
      <w:pPr>
        <w:jc w:val="both"/>
        <w:rPr>
          <w:rFonts w:ascii="Verdana" w:hAnsi="Verdana"/>
          <w:sz w:val="20"/>
        </w:rPr>
      </w:pPr>
      <w:r w:rsidRPr="005B2A17">
        <w:rPr>
          <w:rFonts w:ascii="Verdana" w:hAnsi="Verdana"/>
          <w:b/>
          <w:bCs/>
          <w:sz w:val="20"/>
        </w:rPr>
        <w:lastRenderedPageBreak/>
        <w:t>2.5.5</w:t>
      </w:r>
      <w:r w:rsidRPr="005B2A17">
        <w:rPr>
          <w:rFonts w:ascii="Verdana" w:hAnsi="Verdana"/>
          <w:sz w:val="20"/>
        </w:rPr>
        <w:t xml:space="preserve">    Los Enlaces de Interconexión para exportación a Centros de Carga localizados en </w:t>
      </w:r>
      <w:proofErr w:type="gramStart"/>
      <w:r w:rsidRPr="005B2A17">
        <w:rPr>
          <w:rFonts w:ascii="Verdana" w:hAnsi="Verdana"/>
          <w:sz w:val="20"/>
        </w:rPr>
        <w:t>el extranjero conectados</w:t>
      </w:r>
      <w:proofErr w:type="gramEnd"/>
      <w:r w:rsidRPr="005B2A17">
        <w:rPr>
          <w:rFonts w:ascii="Verdana" w:hAnsi="Verdana"/>
          <w:sz w:val="20"/>
        </w:rPr>
        <w:t xml:space="preserve"> exclusivamente al Sistema Eléctrico Nacional son los siguientes:</w:t>
      </w:r>
    </w:p>
    <w:tbl>
      <w:tblPr>
        <w:tblW w:w="0" w:type="auto"/>
        <w:tblInd w:w="900" w:type="dxa"/>
        <w:shd w:val="clear" w:color="auto" w:fill="FFFFFF"/>
        <w:tblCellMar>
          <w:top w:w="15" w:type="dxa"/>
          <w:left w:w="15" w:type="dxa"/>
          <w:bottom w:w="15" w:type="dxa"/>
          <w:right w:w="15" w:type="dxa"/>
        </w:tblCellMar>
        <w:tblLook w:val="04A0" w:firstRow="1" w:lastRow="0" w:firstColumn="1" w:lastColumn="0" w:noHBand="0" w:noVBand="1"/>
      </w:tblPr>
      <w:tblGrid>
        <w:gridCol w:w="942"/>
        <w:gridCol w:w="2142"/>
        <w:gridCol w:w="1606"/>
        <w:gridCol w:w="1620"/>
        <w:gridCol w:w="1710"/>
      </w:tblGrid>
      <w:tr w:rsidR="005B2A17" w:rsidRPr="005B2A17" w:rsidTr="005B2A17">
        <w:trPr>
          <w:trHeight w:val="605"/>
        </w:trPr>
        <w:tc>
          <w:tcPr>
            <w:tcW w:w="7920" w:type="dxa"/>
            <w:gridSpan w:val="5"/>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rsidR="005B2A17" w:rsidRPr="005B2A17" w:rsidRDefault="005B2A17" w:rsidP="005B2A17">
            <w:pPr>
              <w:jc w:val="both"/>
              <w:divId w:val="724598006"/>
              <w:rPr>
                <w:rFonts w:ascii="Verdana" w:hAnsi="Verdana"/>
                <w:sz w:val="20"/>
              </w:rPr>
            </w:pPr>
            <w:r w:rsidRPr="005B2A17">
              <w:rPr>
                <w:rFonts w:ascii="Verdana" w:hAnsi="Verdana"/>
                <w:b/>
                <w:bCs/>
                <w:sz w:val="20"/>
              </w:rPr>
              <w:t>Enlaces de Interconexión para exportación a Centros de Carga conectados exclusivamente al</w:t>
            </w:r>
            <w:r w:rsidRPr="005B2A17">
              <w:rPr>
                <w:rFonts w:ascii="Verdana" w:hAnsi="Verdana"/>
                <w:sz w:val="20"/>
              </w:rPr>
              <w:br/>
            </w:r>
            <w:r w:rsidRPr="005B2A17">
              <w:rPr>
                <w:rFonts w:ascii="Verdana" w:hAnsi="Verdana"/>
                <w:b/>
                <w:bCs/>
                <w:sz w:val="20"/>
              </w:rPr>
              <w:t>Sistema Eléctrico Nacional</w:t>
            </w:r>
          </w:p>
        </w:tc>
      </w:tr>
      <w:tr w:rsidR="005B2A17" w:rsidRPr="005B2A17" w:rsidTr="005B2A17">
        <w:trPr>
          <w:trHeight w:val="1030"/>
        </w:trPr>
        <w:tc>
          <w:tcPr>
            <w:tcW w:w="918"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b/>
                <w:bCs/>
                <w:sz w:val="20"/>
              </w:rPr>
              <w:t>Región</w:t>
            </w:r>
          </w:p>
        </w:tc>
        <w:tc>
          <w:tcPr>
            <w:tcW w:w="214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b/>
                <w:bCs/>
                <w:sz w:val="20"/>
              </w:rPr>
              <w:t>Enlace México-Extranjero</w:t>
            </w:r>
          </w:p>
        </w:tc>
        <w:tc>
          <w:tcPr>
            <w:tcW w:w="1530"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b/>
                <w:bCs/>
                <w:sz w:val="20"/>
              </w:rPr>
              <w:t>Operador del</w:t>
            </w:r>
            <w:r w:rsidRPr="005B2A17">
              <w:rPr>
                <w:rFonts w:ascii="Verdana" w:hAnsi="Verdana"/>
                <w:sz w:val="20"/>
              </w:rPr>
              <w:br/>
            </w:r>
            <w:r w:rsidRPr="005B2A17">
              <w:rPr>
                <w:rFonts w:ascii="Verdana" w:hAnsi="Verdana"/>
                <w:b/>
                <w:bCs/>
                <w:sz w:val="20"/>
              </w:rPr>
              <w:t>Sistema</w:t>
            </w:r>
            <w:r w:rsidRPr="005B2A17">
              <w:rPr>
                <w:rFonts w:ascii="Verdana" w:hAnsi="Verdana"/>
                <w:sz w:val="20"/>
              </w:rPr>
              <w:br/>
            </w:r>
            <w:r w:rsidRPr="005B2A17">
              <w:rPr>
                <w:rFonts w:ascii="Verdana" w:hAnsi="Verdana"/>
                <w:b/>
                <w:bCs/>
                <w:sz w:val="20"/>
              </w:rPr>
              <w:t>Eléctrico-País</w:t>
            </w:r>
          </w:p>
        </w:tc>
        <w:tc>
          <w:tcPr>
            <w:tcW w:w="1620"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b/>
                <w:bCs/>
                <w:sz w:val="20"/>
              </w:rPr>
              <w:t>Tensión (KV)</w:t>
            </w:r>
          </w:p>
        </w:tc>
        <w:tc>
          <w:tcPr>
            <w:tcW w:w="1710"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b/>
                <w:bCs/>
                <w:sz w:val="20"/>
              </w:rPr>
              <w:t>Capacidad de</w:t>
            </w:r>
            <w:r w:rsidRPr="005B2A17">
              <w:rPr>
                <w:rFonts w:ascii="Verdana" w:hAnsi="Verdana"/>
                <w:sz w:val="20"/>
              </w:rPr>
              <w:br/>
            </w:r>
            <w:r w:rsidRPr="005B2A17">
              <w:rPr>
                <w:rFonts w:ascii="Verdana" w:hAnsi="Verdana"/>
                <w:b/>
                <w:bCs/>
                <w:sz w:val="20"/>
              </w:rPr>
              <w:t>Transferencia</w:t>
            </w:r>
            <w:r w:rsidRPr="005B2A17">
              <w:rPr>
                <w:rFonts w:ascii="Verdana" w:hAnsi="Verdana"/>
                <w:sz w:val="20"/>
              </w:rPr>
              <w:br/>
            </w:r>
            <w:r w:rsidRPr="005B2A17">
              <w:rPr>
                <w:rFonts w:ascii="Verdana" w:hAnsi="Verdana"/>
                <w:b/>
                <w:bCs/>
                <w:sz w:val="20"/>
              </w:rPr>
              <w:t>Disponible (MW)</w:t>
            </w:r>
            <w:r w:rsidRPr="005B2A17">
              <w:rPr>
                <w:rFonts w:ascii="Verdana" w:hAnsi="Verdana"/>
                <w:sz w:val="20"/>
              </w:rPr>
              <w:br/>
            </w:r>
            <w:r w:rsidRPr="005B2A17">
              <w:rPr>
                <w:rFonts w:ascii="Verdana" w:hAnsi="Verdana"/>
                <w:b/>
                <w:bCs/>
                <w:sz w:val="20"/>
              </w:rPr>
              <w:t>NA: No Aplica</w:t>
            </w:r>
          </w:p>
        </w:tc>
      </w:tr>
      <w:tr w:rsidR="005B2A17" w:rsidRPr="005B2A17" w:rsidTr="005B2A17">
        <w:trPr>
          <w:trHeight w:val="370"/>
        </w:trPr>
        <w:tc>
          <w:tcPr>
            <w:tcW w:w="918"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Oriental</w:t>
            </w:r>
          </w:p>
        </w:tc>
        <w:tc>
          <w:tcPr>
            <w:tcW w:w="214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proofErr w:type="spellStart"/>
            <w:r w:rsidRPr="005B2A17">
              <w:rPr>
                <w:rFonts w:ascii="Verdana" w:hAnsi="Verdana"/>
                <w:sz w:val="20"/>
              </w:rPr>
              <w:t>Motozintla-Niquivil</w:t>
            </w:r>
            <w:proofErr w:type="spellEnd"/>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AMM Guatemala</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13.2</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NA</w:t>
            </w:r>
          </w:p>
        </w:tc>
      </w:tr>
      <w:tr w:rsidR="005B2A17" w:rsidRPr="005B2A17" w:rsidTr="005B2A17">
        <w:trPr>
          <w:trHeight w:val="370"/>
        </w:trPr>
        <w:tc>
          <w:tcPr>
            <w:tcW w:w="0" w:type="auto"/>
            <w:vMerge/>
            <w:tcBorders>
              <w:top w:val="single" w:sz="6" w:space="0" w:color="000000"/>
              <w:left w:val="single" w:sz="6" w:space="0" w:color="000000"/>
              <w:right w:val="single" w:sz="6" w:space="0" w:color="000000"/>
            </w:tcBorders>
            <w:shd w:val="clear" w:color="auto" w:fill="FFFFFF"/>
            <w:vAlign w:val="center"/>
            <w:hideMark/>
          </w:tcPr>
          <w:p w:rsidR="005B2A17" w:rsidRPr="005B2A17" w:rsidRDefault="005B2A17" w:rsidP="005B2A17">
            <w:pPr>
              <w:jc w:val="both"/>
              <w:rPr>
                <w:rFonts w:ascii="Verdana" w:hAnsi="Verdana"/>
                <w:sz w:val="20"/>
              </w:rPr>
            </w:pPr>
          </w:p>
        </w:tc>
        <w:tc>
          <w:tcPr>
            <w:tcW w:w="214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 xml:space="preserve">Montebello-Carmen </w:t>
            </w:r>
            <w:proofErr w:type="spellStart"/>
            <w:r w:rsidRPr="005B2A17">
              <w:rPr>
                <w:rFonts w:ascii="Verdana" w:hAnsi="Verdana"/>
                <w:sz w:val="20"/>
              </w:rPr>
              <w:t>Shan</w:t>
            </w:r>
            <w:proofErr w:type="spellEnd"/>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AMM - Guatemala</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13.2</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NA</w:t>
            </w:r>
          </w:p>
        </w:tc>
      </w:tr>
      <w:tr w:rsidR="005B2A17" w:rsidRPr="005B2A17" w:rsidTr="005B2A17">
        <w:trPr>
          <w:trHeight w:val="370"/>
        </w:trPr>
        <w:tc>
          <w:tcPr>
            <w:tcW w:w="0" w:type="auto"/>
            <w:vMerge/>
            <w:tcBorders>
              <w:top w:val="single" w:sz="6" w:space="0" w:color="000000"/>
              <w:left w:val="single" w:sz="6" w:space="0" w:color="000000"/>
              <w:right w:val="single" w:sz="6" w:space="0" w:color="000000"/>
            </w:tcBorders>
            <w:shd w:val="clear" w:color="auto" w:fill="FFFFFF"/>
            <w:vAlign w:val="center"/>
            <w:hideMark/>
          </w:tcPr>
          <w:p w:rsidR="005B2A17" w:rsidRPr="005B2A17" w:rsidRDefault="005B2A17" w:rsidP="005B2A17">
            <w:pPr>
              <w:jc w:val="both"/>
              <w:rPr>
                <w:rFonts w:ascii="Verdana" w:hAnsi="Verdana"/>
                <w:sz w:val="20"/>
              </w:rPr>
            </w:pPr>
          </w:p>
        </w:tc>
        <w:tc>
          <w:tcPr>
            <w:tcW w:w="214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proofErr w:type="spellStart"/>
            <w:r w:rsidRPr="005B2A17">
              <w:rPr>
                <w:rFonts w:ascii="Verdana" w:hAnsi="Verdana"/>
                <w:sz w:val="20"/>
              </w:rPr>
              <w:t>Motozintla-Bacantum</w:t>
            </w:r>
            <w:proofErr w:type="spellEnd"/>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AMM - Guatemala</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7.62</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NA</w:t>
            </w:r>
          </w:p>
        </w:tc>
      </w:tr>
      <w:tr w:rsidR="005B2A17" w:rsidRPr="005B2A17" w:rsidTr="005B2A17">
        <w:trPr>
          <w:trHeight w:val="370"/>
        </w:trPr>
        <w:tc>
          <w:tcPr>
            <w:tcW w:w="0" w:type="auto"/>
            <w:vMerge/>
            <w:tcBorders>
              <w:top w:val="single" w:sz="6" w:space="0" w:color="000000"/>
              <w:left w:val="single" w:sz="6" w:space="0" w:color="000000"/>
              <w:right w:val="single" w:sz="6" w:space="0" w:color="000000"/>
            </w:tcBorders>
            <w:shd w:val="clear" w:color="auto" w:fill="FFFFFF"/>
            <w:vAlign w:val="center"/>
            <w:hideMark/>
          </w:tcPr>
          <w:p w:rsidR="005B2A17" w:rsidRPr="005B2A17" w:rsidRDefault="005B2A17" w:rsidP="005B2A17">
            <w:pPr>
              <w:jc w:val="both"/>
              <w:rPr>
                <w:rFonts w:ascii="Verdana" w:hAnsi="Verdana"/>
                <w:sz w:val="20"/>
              </w:rPr>
            </w:pPr>
          </w:p>
        </w:tc>
        <w:tc>
          <w:tcPr>
            <w:tcW w:w="214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proofErr w:type="spellStart"/>
            <w:r w:rsidRPr="005B2A17">
              <w:rPr>
                <w:rFonts w:ascii="Verdana" w:hAnsi="Verdana"/>
                <w:sz w:val="20"/>
              </w:rPr>
              <w:t>MotozintlaEl</w:t>
            </w:r>
            <w:proofErr w:type="spellEnd"/>
            <w:r w:rsidRPr="005B2A17">
              <w:rPr>
                <w:rFonts w:ascii="Verdana" w:hAnsi="Verdana"/>
                <w:sz w:val="20"/>
              </w:rPr>
              <w:t xml:space="preserve"> Pinal</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AMM - Guatemala</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7.62</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NA</w:t>
            </w:r>
          </w:p>
        </w:tc>
      </w:tr>
      <w:tr w:rsidR="005B2A17" w:rsidRPr="005B2A17" w:rsidTr="005B2A17">
        <w:trPr>
          <w:trHeight w:val="590"/>
        </w:trPr>
        <w:tc>
          <w:tcPr>
            <w:tcW w:w="0" w:type="auto"/>
            <w:vMerge/>
            <w:tcBorders>
              <w:top w:val="single" w:sz="6" w:space="0" w:color="000000"/>
              <w:left w:val="single" w:sz="6" w:space="0" w:color="000000"/>
              <w:right w:val="single" w:sz="6" w:space="0" w:color="000000"/>
            </w:tcBorders>
            <w:shd w:val="clear" w:color="auto" w:fill="FFFFFF"/>
            <w:vAlign w:val="center"/>
            <w:hideMark/>
          </w:tcPr>
          <w:p w:rsidR="005B2A17" w:rsidRPr="005B2A17" w:rsidRDefault="005B2A17" w:rsidP="005B2A17">
            <w:pPr>
              <w:jc w:val="both"/>
              <w:rPr>
                <w:rFonts w:ascii="Verdana" w:hAnsi="Verdana"/>
                <w:sz w:val="20"/>
              </w:rPr>
            </w:pPr>
          </w:p>
        </w:tc>
        <w:tc>
          <w:tcPr>
            <w:tcW w:w="214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 xml:space="preserve">Paso </w:t>
            </w:r>
            <w:proofErr w:type="spellStart"/>
            <w:r w:rsidRPr="005B2A17">
              <w:rPr>
                <w:rFonts w:ascii="Verdana" w:hAnsi="Verdana"/>
                <w:sz w:val="20"/>
              </w:rPr>
              <w:t>HondoPuente</w:t>
            </w:r>
            <w:proofErr w:type="spellEnd"/>
            <w:r w:rsidRPr="005B2A17">
              <w:rPr>
                <w:rFonts w:ascii="Verdana" w:hAnsi="Verdana"/>
                <w:sz w:val="20"/>
              </w:rPr>
              <w:t> de</w:t>
            </w:r>
            <w:r w:rsidRPr="005B2A17">
              <w:rPr>
                <w:rFonts w:ascii="Verdana" w:hAnsi="Verdana"/>
                <w:sz w:val="20"/>
              </w:rPr>
              <w:br/>
              <w:t>Tierra</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AMM - Guatemala</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13.8</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NA</w:t>
            </w:r>
          </w:p>
        </w:tc>
      </w:tr>
      <w:tr w:rsidR="005B2A17" w:rsidRPr="005B2A17" w:rsidTr="005B2A17">
        <w:trPr>
          <w:trHeight w:val="370"/>
        </w:trPr>
        <w:tc>
          <w:tcPr>
            <w:tcW w:w="0" w:type="auto"/>
            <w:vMerge/>
            <w:tcBorders>
              <w:top w:val="single" w:sz="6" w:space="0" w:color="000000"/>
              <w:left w:val="single" w:sz="6" w:space="0" w:color="000000"/>
              <w:right w:val="single" w:sz="6" w:space="0" w:color="000000"/>
            </w:tcBorders>
            <w:shd w:val="clear" w:color="auto" w:fill="FFFFFF"/>
            <w:vAlign w:val="center"/>
            <w:hideMark/>
          </w:tcPr>
          <w:p w:rsidR="005B2A17" w:rsidRPr="005B2A17" w:rsidRDefault="005B2A17" w:rsidP="005B2A17">
            <w:pPr>
              <w:jc w:val="both"/>
              <w:rPr>
                <w:rFonts w:ascii="Verdana" w:hAnsi="Verdana"/>
                <w:sz w:val="20"/>
              </w:rPr>
            </w:pPr>
          </w:p>
        </w:tc>
        <w:tc>
          <w:tcPr>
            <w:tcW w:w="214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proofErr w:type="spellStart"/>
            <w:r w:rsidRPr="005B2A17">
              <w:rPr>
                <w:rFonts w:ascii="Verdana" w:hAnsi="Verdana"/>
                <w:sz w:val="20"/>
              </w:rPr>
              <w:t>ComalapaLas</w:t>
            </w:r>
            <w:proofErr w:type="spellEnd"/>
            <w:r w:rsidRPr="005B2A17">
              <w:rPr>
                <w:rFonts w:ascii="Verdana" w:hAnsi="Verdana"/>
                <w:sz w:val="20"/>
              </w:rPr>
              <w:t xml:space="preserve"> Marías</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AMM - Guatemala</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13.8</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NA</w:t>
            </w:r>
          </w:p>
        </w:tc>
      </w:tr>
      <w:tr w:rsidR="005B2A17" w:rsidRPr="005B2A17" w:rsidTr="005B2A17">
        <w:trPr>
          <w:trHeight w:val="370"/>
        </w:trPr>
        <w:tc>
          <w:tcPr>
            <w:tcW w:w="0" w:type="auto"/>
            <w:vMerge/>
            <w:tcBorders>
              <w:top w:val="single" w:sz="6" w:space="0" w:color="000000"/>
              <w:left w:val="single" w:sz="6" w:space="0" w:color="000000"/>
              <w:right w:val="single" w:sz="6" w:space="0" w:color="000000"/>
            </w:tcBorders>
            <w:shd w:val="clear" w:color="auto" w:fill="FFFFFF"/>
            <w:vAlign w:val="center"/>
            <w:hideMark/>
          </w:tcPr>
          <w:p w:rsidR="005B2A17" w:rsidRPr="005B2A17" w:rsidRDefault="005B2A17" w:rsidP="005B2A17">
            <w:pPr>
              <w:jc w:val="both"/>
              <w:rPr>
                <w:rFonts w:ascii="Verdana" w:hAnsi="Verdana"/>
                <w:sz w:val="20"/>
              </w:rPr>
            </w:pPr>
          </w:p>
        </w:tc>
        <w:tc>
          <w:tcPr>
            <w:tcW w:w="214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Cecilio del Valle-</w:t>
            </w:r>
            <w:proofErr w:type="spellStart"/>
            <w:r w:rsidRPr="005B2A17">
              <w:rPr>
                <w:rFonts w:ascii="Verdana" w:hAnsi="Verdana"/>
                <w:sz w:val="20"/>
              </w:rPr>
              <w:t>Muxbal</w:t>
            </w:r>
            <w:proofErr w:type="spellEnd"/>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AMM - Guatemala</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7.62</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NA</w:t>
            </w:r>
          </w:p>
        </w:tc>
      </w:tr>
      <w:tr w:rsidR="005B2A17" w:rsidRPr="005B2A17" w:rsidTr="005B2A17">
        <w:trPr>
          <w:trHeight w:val="370"/>
        </w:trPr>
        <w:tc>
          <w:tcPr>
            <w:tcW w:w="0" w:type="auto"/>
            <w:vMerge/>
            <w:tcBorders>
              <w:top w:val="single" w:sz="6" w:space="0" w:color="000000"/>
              <w:left w:val="single" w:sz="6" w:space="0" w:color="000000"/>
              <w:right w:val="single" w:sz="6" w:space="0" w:color="000000"/>
            </w:tcBorders>
            <w:shd w:val="clear" w:color="auto" w:fill="FFFFFF"/>
            <w:vAlign w:val="center"/>
            <w:hideMark/>
          </w:tcPr>
          <w:p w:rsidR="005B2A17" w:rsidRPr="005B2A17" w:rsidRDefault="005B2A17" w:rsidP="005B2A17">
            <w:pPr>
              <w:jc w:val="both"/>
              <w:rPr>
                <w:rFonts w:ascii="Verdana" w:hAnsi="Verdana"/>
                <w:sz w:val="20"/>
              </w:rPr>
            </w:pPr>
          </w:p>
        </w:tc>
        <w:tc>
          <w:tcPr>
            <w:tcW w:w="214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proofErr w:type="spellStart"/>
            <w:r w:rsidRPr="005B2A17">
              <w:rPr>
                <w:rFonts w:ascii="Verdana" w:hAnsi="Verdana"/>
                <w:sz w:val="20"/>
              </w:rPr>
              <w:t>MotozintlaAquiles</w:t>
            </w:r>
            <w:proofErr w:type="spellEnd"/>
            <w:r w:rsidRPr="005B2A17">
              <w:rPr>
                <w:rFonts w:ascii="Verdana" w:hAnsi="Verdana"/>
                <w:sz w:val="20"/>
              </w:rPr>
              <w:t xml:space="preserve"> Serdán</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AMM - Guatemala</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7.62</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NA</w:t>
            </w:r>
          </w:p>
        </w:tc>
      </w:tr>
      <w:tr w:rsidR="005B2A17" w:rsidRPr="005B2A17" w:rsidTr="005B2A17">
        <w:trPr>
          <w:trHeight w:val="370"/>
        </w:trPr>
        <w:tc>
          <w:tcPr>
            <w:tcW w:w="0" w:type="auto"/>
            <w:vMerge/>
            <w:tcBorders>
              <w:top w:val="single" w:sz="6" w:space="0" w:color="000000"/>
              <w:left w:val="single" w:sz="6" w:space="0" w:color="000000"/>
              <w:right w:val="single" w:sz="6" w:space="0" w:color="000000"/>
            </w:tcBorders>
            <w:shd w:val="clear" w:color="auto" w:fill="FFFFFF"/>
            <w:vAlign w:val="center"/>
            <w:hideMark/>
          </w:tcPr>
          <w:p w:rsidR="005B2A17" w:rsidRPr="005B2A17" w:rsidRDefault="005B2A17" w:rsidP="005B2A17">
            <w:pPr>
              <w:jc w:val="both"/>
              <w:rPr>
                <w:rFonts w:ascii="Verdana" w:hAnsi="Verdana"/>
                <w:sz w:val="20"/>
              </w:rPr>
            </w:pPr>
          </w:p>
        </w:tc>
        <w:tc>
          <w:tcPr>
            <w:tcW w:w="214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proofErr w:type="spellStart"/>
            <w:r w:rsidRPr="005B2A17">
              <w:rPr>
                <w:rFonts w:ascii="Verdana" w:hAnsi="Verdana"/>
                <w:sz w:val="20"/>
              </w:rPr>
              <w:t>Motozintla-Amatenango</w:t>
            </w:r>
            <w:proofErr w:type="spellEnd"/>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AMM - Guatemala</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7.62</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NA</w:t>
            </w:r>
          </w:p>
        </w:tc>
      </w:tr>
      <w:tr w:rsidR="005B2A17" w:rsidRPr="005B2A17" w:rsidTr="005B2A17">
        <w:trPr>
          <w:trHeight w:val="370"/>
        </w:trPr>
        <w:tc>
          <w:tcPr>
            <w:tcW w:w="0" w:type="auto"/>
            <w:vMerge/>
            <w:tcBorders>
              <w:top w:val="single" w:sz="6" w:space="0" w:color="000000"/>
              <w:left w:val="single" w:sz="6" w:space="0" w:color="000000"/>
              <w:right w:val="single" w:sz="6" w:space="0" w:color="000000"/>
            </w:tcBorders>
            <w:shd w:val="clear" w:color="auto" w:fill="FFFFFF"/>
            <w:vAlign w:val="center"/>
            <w:hideMark/>
          </w:tcPr>
          <w:p w:rsidR="005B2A17" w:rsidRPr="005B2A17" w:rsidRDefault="005B2A17" w:rsidP="005B2A17">
            <w:pPr>
              <w:jc w:val="both"/>
              <w:rPr>
                <w:rFonts w:ascii="Verdana" w:hAnsi="Verdana"/>
                <w:sz w:val="20"/>
              </w:rPr>
            </w:pPr>
          </w:p>
        </w:tc>
        <w:tc>
          <w:tcPr>
            <w:tcW w:w="214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proofErr w:type="spellStart"/>
            <w:r w:rsidRPr="005B2A17">
              <w:rPr>
                <w:rFonts w:ascii="Verdana" w:hAnsi="Verdana"/>
                <w:sz w:val="20"/>
              </w:rPr>
              <w:t>Motozintla</w:t>
            </w:r>
            <w:proofErr w:type="spellEnd"/>
            <w:r w:rsidRPr="005B2A17">
              <w:rPr>
                <w:rFonts w:ascii="Verdana" w:hAnsi="Verdana"/>
                <w:sz w:val="20"/>
              </w:rPr>
              <w:t>-Independencia</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AMM - Guatemala</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7.62</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NA</w:t>
            </w:r>
          </w:p>
        </w:tc>
      </w:tr>
      <w:tr w:rsidR="005B2A17" w:rsidRPr="005B2A17" w:rsidTr="005B2A17">
        <w:trPr>
          <w:trHeight w:val="385"/>
        </w:trPr>
        <w:tc>
          <w:tcPr>
            <w:tcW w:w="0" w:type="auto"/>
            <w:vMerge/>
            <w:tcBorders>
              <w:top w:val="single" w:sz="6" w:space="0" w:color="000000"/>
              <w:left w:val="single" w:sz="6" w:space="0" w:color="000000"/>
              <w:right w:val="single" w:sz="6" w:space="0" w:color="000000"/>
            </w:tcBorders>
            <w:shd w:val="clear" w:color="auto" w:fill="FFFFFF"/>
            <w:vAlign w:val="center"/>
            <w:hideMark/>
          </w:tcPr>
          <w:p w:rsidR="005B2A17" w:rsidRPr="005B2A17" w:rsidRDefault="005B2A17" w:rsidP="005B2A17">
            <w:pPr>
              <w:jc w:val="both"/>
              <w:rPr>
                <w:rFonts w:ascii="Verdana" w:hAnsi="Verdana"/>
                <w:sz w:val="20"/>
              </w:rPr>
            </w:pPr>
          </w:p>
        </w:tc>
        <w:tc>
          <w:tcPr>
            <w:tcW w:w="214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proofErr w:type="spellStart"/>
            <w:r w:rsidRPr="005B2A17">
              <w:rPr>
                <w:rFonts w:ascii="Verdana" w:hAnsi="Verdana"/>
                <w:sz w:val="20"/>
              </w:rPr>
              <w:t>Motozintla</w:t>
            </w:r>
            <w:proofErr w:type="spellEnd"/>
            <w:r w:rsidRPr="005B2A17">
              <w:rPr>
                <w:rFonts w:ascii="Verdana" w:hAnsi="Verdana"/>
                <w:sz w:val="20"/>
              </w:rPr>
              <w:t>-Horizonte</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AMM - Guatemala</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7.62</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NA</w:t>
            </w:r>
          </w:p>
        </w:tc>
      </w:tr>
    </w:tbl>
    <w:p w:rsidR="005B2A17" w:rsidRPr="005B2A17" w:rsidRDefault="005B2A17" w:rsidP="005B2A17">
      <w:pPr>
        <w:jc w:val="both"/>
        <w:rPr>
          <w:rFonts w:ascii="Verdana" w:hAnsi="Verdana"/>
          <w:sz w:val="20"/>
        </w:rPr>
      </w:pPr>
      <w:r w:rsidRPr="005B2A17">
        <w:rPr>
          <w:rFonts w:ascii="Verdana" w:hAnsi="Verdana"/>
          <w:sz w:val="20"/>
        </w:rPr>
        <w:lastRenderedPageBreak/>
        <w:t> </w:t>
      </w:r>
    </w:p>
    <w:p w:rsidR="005B2A17" w:rsidRPr="005B2A17" w:rsidRDefault="005B2A17" w:rsidP="005B2A17">
      <w:pPr>
        <w:jc w:val="both"/>
        <w:rPr>
          <w:rFonts w:ascii="Verdana" w:hAnsi="Verdana"/>
          <w:sz w:val="20"/>
        </w:rPr>
      </w:pPr>
      <w:r w:rsidRPr="005B2A17">
        <w:rPr>
          <w:rFonts w:ascii="Verdana" w:hAnsi="Verdana"/>
          <w:b/>
          <w:bCs/>
          <w:sz w:val="20"/>
        </w:rPr>
        <w:t>2.6</w:t>
      </w:r>
      <w:r w:rsidRPr="005B2A17">
        <w:rPr>
          <w:rFonts w:ascii="Verdana" w:hAnsi="Verdana"/>
          <w:sz w:val="20"/>
        </w:rPr>
        <w:t>      </w:t>
      </w:r>
      <w:r w:rsidRPr="005B2A17">
        <w:rPr>
          <w:rFonts w:ascii="Verdana" w:hAnsi="Verdana"/>
          <w:b/>
          <w:bCs/>
          <w:sz w:val="20"/>
        </w:rPr>
        <w:t>Enlaces para Abasto Aislado de importación y exportación</w:t>
      </w:r>
    </w:p>
    <w:p w:rsidR="005B2A17" w:rsidRPr="005B2A17" w:rsidRDefault="005B2A17" w:rsidP="005B2A17">
      <w:pPr>
        <w:jc w:val="both"/>
        <w:rPr>
          <w:rFonts w:ascii="Verdana" w:hAnsi="Verdana"/>
          <w:sz w:val="20"/>
        </w:rPr>
      </w:pPr>
      <w:r w:rsidRPr="005B2A17">
        <w:rPr>
          <w:rFonts w:ascii="Verdana" w:hAnsi="Verdana"/>
          <w:b/>
          <w:bCs/>
          <w:sz w:val="20"/>
        </w:rPr>
        <w:t>2.6.1</w:t>
      </w:r>
      <w:r w:rsidRPr="005B2A17">
        <w:rPr>
          <w:rFonts w:ascii="Verdana" w:hAnsi="Verdana"/>
          <w:sz w:val="20"/>
        </w:rPr>
        <w:t>   Las importaciones y exportaciones de energía eléctrica para Abasto Aislado son las que se realizan sobre enlaces que no son parte de la Red Nacional de Transmisión o Redes Generales de Distribución y que no se interconectan con dichas redes. Estas importaciones y exportaciones de energía eléctrica no se liquidarán en el Mercado Eléctrico Mayorista.</w:t>
      </w:r>
    </w:p>
    <w:p w:rsidR="005B2A17" w:rsidRPr="005B2A17" w:rsidRDefault="005B2A17" w:rsidP="005B2A17">
      <w:pPr>
        <w:jc w:val="both"/>
        <w:rPr>
          <w:rFonts w:ascii="Verdana" w:hAnsi="Verdana"/>
          <w:sz w:val="20"/>
        </w:rPr>
      </w:pPr>
      <w:r w:rsidRPr="005B2A17">
        <w:rPr>
          <w:rFonts w:ascii="Verdana" w:hAnsi="Verdana"/>
          <w:b/>
          <w:bCs/>
          <w:sz w:val="20"/>
        </w:rPr>
        <w:t>2.6.2</w:t>
      </w:r>
      <w:r w:rsidRPr="005B2A17">
        <w:rPr>
          <w:rFonts w:ascii="Verdana" w:hAnsi="Verdana"/>
          <w:sz w:val="20"/>
        </w:rPr>
        <w:t>   No se requiere tener un contrato de Participante de Mercado para programar importaciones o exportaciones de energía eléctrica para Abasto Aislado, sin perjuicio de la autorización o permiso que requiera la CRE.</w:t>
      </w:r>
    </w:p>
    <w:p w:rsidR="005B2A17" w:rsidRPr="005B2A17" w:rsidRDefault="005B2A17" w:rsidP="005B2A17">
      <w:pPr>
        <w:jc w:val="both"/>
        <w:rPr>
          <w:rFonts w:ascii="Verdana" w:hAnsi="Verdana"/>
          <w:sz w:val="20"/>
        </w:rPr>
      </w:pPr>
      <w:r w:rsidRPr="005B2A17">
        <w:rPr>
          <w:rFonts w:ascii="Verdana" w:hAnsi="Verdana"/>
          <w:b/>
          <w:bCs/>
          <w:sz w:val="20"/>
        </w:rPr>
        <w:t>2.6.3</w:t>
      </w:r>
      <w:r w:rsidRPr="005B2A17">
        <w:rPr>
          <w:rFonts w:ascii="Verdana" w:hAnsi="Verdana"/>
          <w:sz w:val="20"/>
        </w:rPr>
        <w:t>   Las Entidades Responsables de Carga que representen Centros de Carga en Abasto Aislado o Centrales Eléctricas en Abasto Aislado son responsables de sus transacciones comerciales con el sistema extranjero, sin la participación del CENACE.</w:t>
      </w:r>
    </w:p>
    <w:p w:rsidR="005B2A17" w:rsidRPr="005B2A17" w:rsidRDefault="005B2A17" w:rsidP="005B2A17">
      <w:pPr>
        <w:jc w:val="both"/>
        <w:rPr>
          <w:rFonts w:ascii="Verdana" w:hAnsi="Verdana"/>
          <w:sz w:val="20"/>
        </w:rPr>
      </w:pPr>
      <w:r w:rsidRPr="005B2A17">
        <w:rPr>
          <w:rFonts w:ascii="Verdana" w:hAnsi="Verdana"/>
          <w:sz w:val="20"/>
        </w:rPr>
        <w:t> </w:t>
      </w:r>
    </w:p>
    <w:p w:rsidR="005B2A17" w:rsidRPr="005B2A17" w:rsidRDefault="005B2A17" w:rsidP="005B2A17">
      <w:pPr>
        <w:jc w:val="both"/>
        <w:rPr>
          <w:rFonts w:ascii="Verdana" w:hAnsi="Verdana"/>
          <w:sz w:val="20"/>
        </w:rPr>
      </w:pPr>
      <w:r w:rsidRPr="005B2A17">
        <w:rPr>
          <w:rFonts w:ascii="Verdana" w:hAnsi="Verdana"/>
          <w:b/>
          <w:bCs/>
          <w:sz w:val="20"/>
        </w:rPr>
        <w:t>2.6.4</w:t>
      </w:r>
      <w:r w:rsidRPr="005B2A17">
        <w:rPr>
          <w:rFonts w:ascii="Verdana" w:hAnsi="Verdana"/>
          <w:sz w:val="20"/>
        </w:rPr>
        <w:t>    El presente manual no regula las importaciones o exportaciones que tengan como objeto el Abasto Aislado, sin embargo, la SENER, la CRE o el CENACE podrán solicitar información en relación con la energía de importación o exportación para fines estadísticos.</w:t>
      </w:r>
    </w:p>
    <w:p w:rsidR="005B2A17" w:rsidRPr="005B2A17" w:rsidRDefault="005B2A17" w:rsidP="005B2A17">
      <w:pPr>
        <w:jc w:val="both"/>
        <w:rPr>
          <w:rFonts w:ascii="Verdana" w:hAnsi="Verdana"/>
          <w:sz w:val="20"/>
        </w:rPr>
      </w:pPr>
      <w:r w:rsidRPr="005B2A17">
        <w:rPr>
          <w:rFonts w:ascii="Verdana" w:hAnsi="Verdana"/>
          <w:b/>
          <w:bCs/>
          <w:sz w:val="20"/>
        </w:rPr>
        <w:t>2.6.5</w:t>
      </w:r>
      <w:r w:rsidRPr="005B2A17">
        <w:rPr>
          <w:rFonts w:ascii="Verdana" w:hAnsi="Verdana"/>
          <w:sz w:val="20"/>
        </w:rPr>
        <w:t>    Los Enlaces para Abasto Aislado de importación son los siguientes:</w:t>
      </w:r>
    </w:p>
    <w:tbl>
      <w:tblPr>
        <w:tblW w:w="0" w:type="auto"/>
        <w:tblInd w:w="900" w:type="dxa"/>
        <w:shd w:val="clear" w:color="auto" w:fill="FFFFFF"/>
        <w:tblCellMar>
          <w:top w:w="15" w:type="dxa"/>
          <w:left w:w="15" w:type="dxa"/>
          <w:bottom w:w="15" w:type="dxa"/>
          <w:right w:w="15" w:type="dxa"/>
        </w:tblCellMar>
        <w:tblLook w:val="04A0" w:firstRow="1" w:lastRow="0" w:firstColumn="1" w:lastColumn="0" w:noHBand="0" w:noVBand="1"/>
      </w:tblPr>
      <w:tblGrid>
        <w:gridCol w:w="1093"/>
        <w:gridCol w:w="2573"/>
        <w:gridCol w:w="1706"/>
        <w:gridCol w:w="1023"/>
        <w:gridCol w:w="1687"/>
      </w:tblGrid>
      <w:tr w:rsidR="005B2A17" w:rsidRPr="005B2A17" w:rsidTr="005B2A17">
        <w:trPr>
          <w:trHeight w:val="358"/>
        </w:trPr>
        <w:tc>
          <w:tcPr>
            <w:tcW w:w="7876" w:type="dxa"/>
            <w:gridSpan w:val="5"/>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rsidR="005B2A17" w:rsidRPr="005B2A17" w:rsidRDefault="005B2A17" w:rsidP="005B2A17">
            <w:pPr>
              <w:jc w:val="both"/>
              <w:divId w:val="698433273"/>
              <w:rPr>
                <w:rFonts w:ascii="Verdana" w:hAnsi="Verdana"/>
                <w:sz w:val="20"/>
              </w:rPr>
            </w:pPr>
            <w:r w:rsidRPr="005B2A17">
              <w:rPr>
                <w:rFonts w:ascii="Verdana" w:hAnsi="Verdana"/>
                <w:b/>
                <w:bCs/>
                <w:sz w:val="20"/>
              </w:rPr>
              <w:t>Enlaces para Abasto Aislado de importación</w:t>
            </w:r>
          </w:p>
        </w:tc>
      </w:tr>
      <w:tr w:rsidR="005B2A17" w:rsidRPr="005B2A17" w:rsidTr="005B2A17">
        <w:trPr>
          <w:trHeight w:val="1069"/>
        </w:trPr>
        <w:tc>
          <w:tcPr>
            <w:tcW w:w="1080"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b/>
                <w:bCs/>
                <w:sz w:val="20"/>
              </w:rPr>
              <w:t>Región</w:t>
            </w:r>
          </w:p>
        </w:tc>
        <w:tc>
          <w:tcPr>
            <w:tcW w:w="2610"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b/>
                <w:bCs/>
                <w:sz w:val="20"/>
              </w:rPr>
              <w:t>Enlace México-Extranjero</w:t>
            </w:r>
          </w:p>
        </w:tc>
        <w:tc>
          <w:tcPr>
            <w:tcW w:w="1710"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b/>
                <w:bCs/>
                <w:sz w:val="20"/>
              </w:rPr>
              <w:t>Operador del</w:t>
            </w:r>
            <w:r w:rsidRPr="005B2A17">
              <w:rPr>
                <w:rFonts w:ascii="Verdana" w:hAnsi="Verdana"/>
                <w:sz w:val="20"/>
              </w:rPr>
              <w:br/>
            </w:r>
            <w:r w:rsidRPr="005B2A17">
              <w:rPr>
                <w:rFonts w:ascii="Verdana" w:hAnsi="Verdana"/>
                <w:b/>
                <w:bCs/>
                <w:sz w:val="20"/>
              </w:rPr>
              <w:t>Sistema Eléctrico/</w:t>
            </w:r>
            <w:r w:rsidRPr="005B2A17">
              <w:rPr>
                <w:rFonts w:ascii="Verdana" w:hAnsi="Verdana"/>
                <w:sz w:val="20"/>
              </w:rPr>
              <w:br/>
            </w:r>
            <w:r w:rsidRPr="005B2A17">
              <w:rPr>
                <w:rFonts w:ascii="Verdana" w:hAnsi="Verdana"/>
                <w:b/>
                <w:bCs/>
                <w:sz w:val="20"/>
              </w:rPr>
              <w:t>País</w:t>
            </w:r>
          </w:p>
        </w:tc>
        <w:tc>
          <w:tcPr>
            <w:tcW w:w="946"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b/>
                <w:bCs/>
                <w:sz w:val="20"/>
              </w:rPr>
              <w:t>Tensión</w:t>
            </w:r>
            <w:r w:rsidRPr="005B2A17">
              <w:rPr>
                <w:rFonts w:ascii="Verdana" w:hAnsi="Verdana"/>
                <w:sz w:val="20"/>
              </w:rPr>
              <w:br/>
            </w:r>
            <w:r w:rsidRPr="005B2A17">
              <w:rPr>
                <w:rFonts w:ascii="Verdana" w:hAnsi="Verdana"/>
                <w:b/>
                <w:bCs/>
                <w:sz w:val="20"/>
              </w:rPr>
              <w:t>(KV)</w:t>
            </w:r>
          </w:p>
        </w:tc>
        <w:tc>
          <w:tcPr>
            <w:tcW w:w="1530"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b/>
                <w:bCs/>
                <w:sz w:val="20"/>
              </w:rPr>
              <w:t>Capacidad de</w:t>
            </w:r>
            <w:r w:rsidRPr="005B2A17">
              <w:rPr>
                <w:rFonts w:ascii="Verdana" w:hAnsi="Verdana"/>
                <w:sz w:val="20"/>
              </w:rPr>
              <w:br/>
            </w:r>
            <w:r w:rsidRPr="005B2A17">
              <w:rPr>
                <w:rFonts w:ascii="Verdana" w:hAnsi="Verdana"/>
                <w:b/>
                <w:bCs/>
                <w:sz w:val="20"/>
              </w:rPr>
              <w:t>Transferencia</w:t>
            </w:r>
            <w:r w:rsidRPr="005B2A17">
              <w:rPr>
                <w:rFonts w:ascii="Verdana" w:hAnsi="Verdana"/>
                <w:sz w:val="20"/>
              </w:rPr>
              <w:br/>
            </w:r>
            <w:r w:rsidRPr="005B2A17">
              <w:rPr>
                <w:rFonts w:ascii="Verdana" w:hAnsi="Verdana"/>
                <w:b/>
                <w:bCs/>
                <w:sz w:val="20"/>
              </w:rPr>
              <w:t>Disponible (MW)</w:t>
            </w:r>
            <w:r w:rsidRPr="005B2A17">
              <w:rPr>
                <w:rFonts w:ascii="Verdana" w:hAnsi="Verdana"/>
                <w:sz w:val="20"/>
              </w:rPr>
              <w:br/>
            </w:r>
            <w:r w:rsidRPr="005B2A17">
              <w:rPr>
                <w:rFonts w:ascii="Verdana" w:hAnsi="Verdana"/>
                <w:b/>
                <w:bCs/>
                <w:sz w:val="20"/>
              </w:rPr>
              <w:t>NA: No Aplica</w:t>
            </w:r>
          </w:p>
        </w:tc>
      </w:tr>
      <w:tr w:rsidR="005B2A17" w:rsidRPr="005B2A17" w:rsidTr="005B2A17">
        <w:trPr>
          <w:trHeight w:val="343"/>
        </w:trPr>
        <w:tc>
          <w:tcPr>
            <w:tcW w:w="1080"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Noroeste</w:t>
            </w:r>
          </w:p>
        </w:tc>
        <w:tc>
          <w:tcPr>
            <w:tcW w:w="26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 xml:space="preserve">Santa </w:t>
            </w:r>
            <w:proofErr w:type="spellStart"/>
            <w:r w:rsidRPr="005B2A17">
              <w:rPr>
                <w:rFonts w:ascii="Verdana" w:hAnsi="Verdana"/>
                <w:sz w:val="20"/>
              </w:rPr>
              <w:t>CruzRío</w:t>
            </w:r>
            <w:proofErr w:type="spellEnd"/>
            <w:r w:rsidRPr="005B2A17">
              <w:rPr>
                <w:rFonts w:ascii="Verdana" w:hAnsi="Verdana"/>
                <w:sz w:val="20"/>
              </w:rPr>
              <w:t xml:space="preserve"> Rico</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proofErr w:type="spellStart"/>
            <w:r w:rsidRPr="005B2A17">
              <w:rPr>
                <w:rFonts w:ascii="Verdana" w:hAnsi="Verdana"/>
                <w:sz w:val="20"/>
              </w:rPr>
              <w:t>Unisource</w:t>
            </w:r>
            <w:proofErr w:type="spellEnd"/>
            <w:r w:rsidRPr="005B2A17">
              <w:rPr>
                <w:rFonts w:ascii="Verdana" w:hAnsi="Verdana"/>
                <w:sz w:val="20"/>
              </w:rPr>
              <w:t>/EUA</w:t>
            </w:r>
          </w:p>
        </w:tc>
        <w:tc>
          <w:tcPr>
            <w:tcW w:w="9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13.8</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NA</w:t>
            </w:r>
          </w:p>
        </w:tc>
      </w:tr>
      <w:tr w:rsidR="005B2A17" w:rsidRPr="005B2A17" w:rsidTr="005B2A17">
        <w:trPr>
          <w:trHeight w:val="343"/>
        </w:trPr>
        <w:tc>
          <w:tcPr>
            <w:tcW w:w="0" w:type="auto"/>
            <w:vMerge/>
            <w:tcBorders>
              <w:top w:val="single" w:sz="6" w:space="0" w:color="000000"/>
              <w:left w:val="single" w:sz="6" w:space="0" w:color="000000"/>
              <w:right w:val="single" w:sz="6" w:space="0" w:color="000000"/>
            </w:tcBorders>
            <w:shd w:val="clear" w:color="auto" w:fill="FFFFFF"/>
            <w:vAlign w:val="center"/>
            <w:hideMark/>
          </w:tcPr>
          <w:p w:rsidR="005B2A17" w:rsidRPr="005B2A17" w:rsidRDefault="005B2A17" w:rsidP="005B2A17">
            <w:pPr>
              <w:jc w:val="both"/>
              <w:rPr>
                <w:rFonts w:ascii="Verdana" w:hAnsi="Verdana"/>
                <w:sz w:val="20"/>
              </w:rPr>
            </w:pPr>
          </w:p>
        </w:tc>
        <w:tc>
          <w:tcPr>
            <w:tcW w:w="26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proofErr w:type="spellStart"/>
            <w:r w:rsidRPr="005B2A17">
              <w:rPr>
                <w:rFonts w:ascii="Verdana" w:hAnsi="Verdana"/>
                <w:sz w:val="20"/>
              </w:rPr>
              <w:t>Sásabe-Sells</w:t>
            </w:r>
            <w:proofErr w:type="spellEnd"/>
          </w:p>
        </w:tc>
        <w:tc>
          <w:tcPr>
            <w:tcW w:w="17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proofErr w:type="spellStart"/>
            <w:r w:rsidRPr="005B2A17">
              <w:rPr>
                <w:rFonts w:ascii="Verdana" w:hAnsi="Verdana"/>
                <w:sz w:val="20"/>
              </w:rPr>
              <w:t>Trico</w:t>
            </w:r>
            <w:proofErr w:type="spellEnd"/>
            <w:r w:rsidRPr="005B2A17">
              <w:rPr>
                <w:rFonts w:ascii="Verdana" w:hAnsi="Verdana"/>
                <w:sz w:val="20"/>
              </w:rPr>
              <w:t>/EUA</w:t>
            </w:r>
          </w:p>
        </w:tc>
        <w:tc>
          <w:tcPr>
            <w:tcW w:w="9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2.4</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NA</w:t>
            </w:r>
          </w:p>
        </w:tc>
      </w:tr>
      <w:tr w:rsidR="005B2A17" w:rsidRPr="005B2A17" w:rsidTr="005B2A17">
        <w:trPr>
          <w:trHeight w:val="343"/>
        </w:trPr>
        <w:tc>
          <w:tcPr>
            <w:tcW w:w="1080"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Norte</w:t>
            </w:r>
          </w:p>
        </w:tc>
        <w:tc>
          <w:tcPr>
            <w:tcW w:w="26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San Antonio del Bravo-Ciénega</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Río Grande/EUA</w:t>
            </w:r>
          </w:p>
        </w:tc>
        <w:tc>
          <w:tcPr>
            <w:tcW w:w="9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22.8</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NA</w:t>
            </w:r>
          </w:p>
        </w:tc>
      </w:tr>
      <w:tr w:rsidR="005B2A17" w:rsidRPr="005B2A17" w:rsidTr="005B2A17">
        <w:trPr>
          <w:trHeight w:val="343"/>
        </w:trPr>
        <w:tc>
          <w:tcPr>
            <w:tcW w:w="0" w:type="auto"/>
            <w:vMerge/>
            <w:tcBorders>
              <w:top w:val="single" w:sz="6" w:space="0" w:color="000000"/>
              <w:left w:val="single" w:sz="6" w:space="0" w:color="000000"/>
              <w:right w:val="single" w:sz="6" w:space="0" w:color="000000"/>
            </w:tcBorders>
            <w:shd w:val="clear" w:color="auto" w:fill="FFFFFF"/>
            <w:vAlign w:val="center"/>
            <w:hideMark/>
          </w:tcPr>
          <w:p w:rsidR="005B2A17" w:rsidRPr="005B2A17" w:rsidRDefault="005B2A17" w:rsidP="005B2A17">
            <w:pPr>
              <w:jc w:val="both"/>
              <w:rPr>
                <w:rFonts w:ascii="Verdana" w:hAnsi="Verdana"/>
                <w:sz w:val="20"/>
              </w:rPr>
            </w:pPr>
          </w:p>
        </w:tc>
        <w:tc>
          <w:tcPr>
            <w:tcW w:w="26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 xml:space="preserve">Santa </w:t>
            </w:r>
            <w:proofErr w:type="spellStart"/>
            <w:r w:rsidRPr="005B2A17">
              <w:rPr>
                <w:rFonts w:ascii="Verdana" w:hAnsi="Verdana"/>
                <w:sz w:val="20"/>
              </w:rPr>
              <w:t>ElenaPersimmon</w:t>
            </w:r>
            <w:proofErr w:type="spellEnd"/>
            <w:r w:rsidRPr="005B2A17">
              <w:rPr>
                <w:rFonts w:ascii="Verdana" w:hAnsi="Verdana"/>
                <w:sz w:val="20"/>
              </w:rPr>
              <w:t xml:space="preserve"> GAP</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Río Grande/EUA</w:t>
            </w:r>
          </w:p>
        </w:tc>
        <w:tc>
          <w:tcPr>
            <w:tcW w:w="9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22.8</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NA</w:t>
            </w:r>
          </w:p>
        </w:tc>
      </w:tr>
      <w:tr w:rsidR="005B2A17" w:rsidRPr="005B2A17" w:rsidTr="005B2A17">
        <w:trPr>
          <w:trHeight w:val="585"/>
        </w:trPr>
        <w:tc>
          <w:tcPr>
            <w:tcW w:w="0" w:type="auto"/>
            <w:vMerge/>
            <w:tcBorders>
              <w:top w:val="single" w:sz="6" w:space="0" w:color="000000"/>
              <w:left w:val="single" w:sz="6" w:space="0" w:color="000000"/>
              <w:right w:val="single" w:sz="6" w:space="0" w:color="000000"/>
            </w:tcBorders>
            <w:shd w:val="clear" w:color="auto" w:fill="FFFFFF"/>
            <w:vAlign w:val="center"/>
            <w:hideMark/>
          </w:tcPr>
          <w:p w:rsidR="005B2A17" w:rsidRPr="005B2A17" w:rsidRDefault="005B2A17" w:rsidP="005B2A17">
            <w:pPr>
              <w:jc w:val="both"/>
              <w:rPr>
                <w:rFonts w:ascii="Verdana" w:hAnsi="Verdana"/>
                <w:sz w:val="20"/>
              </w:rPr>
            </w:pPr>
          </w:p>
        </w:tc>
        <w:tc>
          <w:tcPr>
            <w:tcW w:w="26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El Mulato-</w:t>
            </w:r>
            <w:proofErr w:type="spellStart"/>
            <w:r w:rsidRPr="005B2A17">
              <w:rPr>
                <w:rFonts w:ascii="Verdana" w:hAnsi="Verdana"/>
                <w:sz w:val="20"/>
              </w:rPr>
              <w:t>Redford</w:t>
            </w:r>
            <w:proofErr w:type="spellEnd"/>
          </w:p>
        </w:tc>
        <w:tc>
          <w:tcPr>
            <w:tcW w:w="17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American Electric</w:t>
            </w:r>
            <w:r w:rsidRPr="005B2A17">
              <w:rPr>
                <w:rFonts w:ascii="Verdana" w:hAnsi="Verdana"/>
                <w:sz w:val="20"/>
              </w:rPr>
              <w:br/>
            </w:r>
            <w:proofErr w:type="spellStart"/>
            <w:r w:rsidRPr="005B2A17">
              <w:rPr>
                <w:rFonts w:ascii="Verdana" w:hAnsi="Verdana"/>
                <w:sz w:val="20"/>
              </w:rPr>
              <w:t>Power</w:t>
            </w:r>
            <w:proofErr w:type="spellEnd"/>
            <w:r w:rsidRPr="005B2A17">
              <w:rPr>
                <w:rFonts w:ascii="Verdana" w:hAnsi="Verdana"/>
                <w:sz w:val="20"/>
              </w:rPr>
              <w:t xml:space="preserve"> </w:t>
            </w:r>
            <w:r w:rsidRPr="005B2A17">
              <w:rPr>
                <w:rFonts w:ascii="Verdana" w:hAnsi="Verdana"/>
                <w:sz w:val="20"/>
              </w:rPr>
              <w:lastRenderedPageBreak/>
              <w:t>(AEP)/EUA</w:t>
            </w:r>
          </w:p>
        </w:tc>
        <w:tc>
          <w:tcPr>
            <w:tcW w:w="9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lastRenderedPageBreak/>
              <w:t>7.2</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0.1/0.1</w:t>
            </w:r>
          </w:p>
        </w:tc>
      </w:tr>
      <w:tr w:rsidR="005B2A17" w:rsidRPr="005B2A17" w:rsidTr="005B2A17">
        <w:trPr>
          <w:trHeight w:val="343"/>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lastRenderedPageBreak/>
              <w:t>Noreste</w:t>
            </w:r>
          </w:p>
        </w:tc>
        <w:tc>
          <w:tcPr>
            <w:tcW w:w="26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 xml:space="preserve">Santa </w:t>
            </w:r>
            <w:proofErr w:type="spellStart"/>
            <w:r w:rsidRPr="005B2A17">
              <w:rPr>
                <w:rFonts w:ascii="Verdana" w:hAnsi="Verdana"/>
                <w:sz w:val="20"/>
              </w:rPr>
              <w:t>RosaSub</w:t>
            </w:r>
            <w:proofErr w:type="spellEnd"/>
            <w:r w:rsidRPr="005B2A17">
              <w:rPr>
                <w:rFonts w:ascii="Verdana" w:hAnsi="Verdana"/>
                <w:sz w:val="20"/>
              </w:rPr>
              <w:t xml:space="preserve"> </w:t>
            </w:r>
            <w:proofErr w:type="spellStart"/>
            <w:r w:rsidRPr="005B2A17">
              <w:rPr>
                <w:rFonts w:ascii="Verdana" w:hAnsi="Verdana"/>
                <w:sz w:val="20"/>
              </w:rPr>
              <w:t>Comostock</w:t>
            </w:r>
            <w:proofErr w:type="spellEnd"/>
          </w:p>
        </w:tc>
        <w:tc>
          <w:tcPr>
            <w:tcW w:w="17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Río Grande/EUA</w:t>
            </w:r>
          </w:p>
        </w:tc>
        <w:tc>
          <w:tcPr>
            <w:tcW w:w="9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13.2</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20/20</w:t>
            </w:r>
          </w:p>
        </w:tc>
      </w:tr>
      <w:tr w:rsidR="005B2A17" w:rsidRPr="005B2A17" w:rsidTr="005B2A17">
        <w:trPr>
          <w:trHeight w:val="585"/>
        </w:trPr>
        <w:tc>
          <w:tcPr>
            <w:tcW w:w="1080"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Baja</w:t>
            </w:r>
            <w:r w:rsidRPr="005B2A17">
              <w:rPr>
                <w:rFonts w:ascii="Verdana" w:hAnsi="Verdana"/>
                <w:sz w:val="20"/>
              </w:rPr>
              <w:br/>
              <w:t>California</w:t>
            </w:r>
          </w:p>
        </w:tc>
        <w:tc>
          <w:tcPr>
            <w:tcW w:w="26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 xml:space="preserve">BOSE-San Luis </w:t>
            </w:r>
            <w:proofErr w:type="spellStart"/>
            <w:r w:rsidRPr="005B2A17">
              <w:rPr>
                <w:rFonts w:ascii="Verdana" w:hAnsi="Verdana"/>
                <w:sz w:val="20"/>
              </w:rPr>
              <w:t>Substation</w:t>
            </w:r>
            <w:proofErr w:type="spellEnd"/>
          </w:p>
        </w:tc>
        <w:tc>
          <w:tcPr>
            <w:tcW w:w="17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 xml:space="preserve">Arizona </w:t>
            </w:r>
            <w:proofErr w:type="spellStart"/>
            <w:r w:rsidRPr="005B2A17">
              <w:rPr>
                <w:rFonts w:ascii="Verdana" w:hAnsi="Verdana"/>
                <w:sz w:val="20"/>
              </w:rPr>
              <w:t>Public</w:t>
            </w:r>
            <w:proofErr w:type="spellEnd"/>
            <w:r w:rsidRPr="005B2A17">
              <w:rPr>
                <w:rFonts w:ascii="Verdana" w:hAnsi="Verdana"/>
                <w:sz w:val="20"/>
              </w:rPr>
              <w:br/>
            </w:r>
            <w:proofErr w:type="spellStart"/>
            <w:r w:rsidRPr="005B2A17">
              <w:rPr>
                <w:rFonts w:ascii="Verdana" w:hAnsi="Verdana"/>
                <w:sz w:val="20"/>
              </w:rPr>
              <w:t>Service</w:t>
            </w:r>
            <w:proofErr w:type="spellEnd"/>
            <w:r w:rsidRPr="005B2A17">
              <w:rPr>
                <w:rFonts w:ascii="Verdana" w:hAnsi="Verdana"/>
                <w:sz w:val="20"/>
              </w:rPr>
              <w:t xml:space="preserve"> (APS)/EUA</w:t>
            </w:r>
          </w:p>
        </w:tc>
        <w:tc>
          <w:tcPr>
            <w:tcW w:w="9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34.5</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NA</w:t>
            </w:r>
          </w:p>
        </w:tc>
      </w:tr>
      <w:tr w:rsidR="005B2A17" w:rsidRPr="005B2A17" w:rsidTr="005B2A17">
        <w:trPr>
          <w:trHeight w:val="600"/>
        </w:trPr>
        <w:tc>
          <w:tcPr>
            <w:tcW w:w="0" w:type="auto"/>
            <w:vMerge/>
            <w:tcBorders>
              <w:top w:val="single" w:sz="6" w:space="0" w:color="000000"/>
              <w:left w:val="single" w:sz="6" w:space="0" w:color="000000"/>
              <w:right w:val="single" w:sz="6" w:space="0" w:color="000000"/>
            </w:tcBorders>
            <w:shd w:val="clear" w:color="auto" w:fill="FFFFFF"/>
            <w:vAlign w:val="center"/>
            <w:hideMark/>
          </w:tcPr>
          <w:p w:rsidR="005B2A17" w:rsidRPr="005B2A17" w:rsidRDefault="005B2A17" w:rsidP="005B2A17">
            <w:pPr>
              <w:jc w:val="both"/>
              <w:rPr>
                <w:rFonts w:ascii="Verdana" w:hAnsi="Verdana"/>
                <w:sz w:val="20"/>
              </w:rPr>
            </w:pPr>
          </w:p>
        </w:tc>
        <w:tc>
          <w:tcPr>
            <w:tcW w:w="26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 xml:space="preserve">Ruiz Cortines-San Luis </w:t>
            </w:r>
            <w:proofErr w:type="spellStart"/>
            <w:r w:rsidRPr="005B2A17">
              <w:rPr>
                <w:rFonts w:ascii="Verdana" w:hAnsi="Verdana"/>
                <w:sz w:val="20"/>
              </w:rPr>
              <w:t>Substation</w:t>
            </w:r>
            <w:proofErr w:type="spellEnd"/>
          </w:p>
        </w:tc>
        <w:tc>
          <w:tcPr>
            <w:tcW w:w="17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 xml:space="preserve">Arizona </w:t>
            </w:r>
            <w:proofErr w:type="spellStart"/>
            <w:r w:rsidRPr="005B2A17">
              <w:rPr>
                <w:rFonts w:ascii="Verdana" w:hAnsi="Verdana"/>
                <w:sz w:val="20"/>
              </w:rPr>
              <w:t>Public</w:t>
            </w:r>
            <w:proofErr w:type="spellEnd"/>
            <w:r w:rsidRPr="005B2A17">
              <w:rPr>
                <w:rFonts w:ascii="Verdana" w:hAnsi="Verdana"/>
                <w:sz w:val="20"/>
              </w:rPr>
              <w:br/>
            </w:r>
            <w:proofErr w:type="spellStart"/>
            <w:r w:rsidRPr="005B2A17">
              <w:rPr>
                <w:rFonts w:ascii="Verdana" w:hAnsi="Verdana"/>
                <w:sz w:val="20"/>
              </w:rPr>
              <w:t>Service</w:t>
            </w:r>
            <w:proofErr w:type="spellEnd"/>
            <w:r w:rsidRPr="005B2A17">
              <w:rPr>
                <w:rFonts w:ascii="Verdana" w:hAnsi="Verdana"/>
                <w:sz w:val="20"/>
              </w:rPr>
              <w:t xml:space="preserve"> (APS)/EUA</w:t>
            </w:r>
          </w:p>
        </w:tc>
        <w:tc>
          <w:tcPr>
            <w:tcW w:w="9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34.5</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20</w:t>
            </w:r>
          </w:p>
        </w:tc>
      </w:tr>
    </w:tbl>
    <w:p w:rsidR="005B2A17" w:rsidRPr="005B2A17" w:rsidRDefault="005B2A17" w:rsidP="005B2A17">
      <w:pPr>
        <w:jc w:val="both"/>
        <w:rPr>
          <w:rFonts w:ascii="Verdana" w:hAnsi="Verdana"/>
          <w:sz w:val="20"/>
        </w:rPr>
      </w:pPr>
      <w:r w:rsidRPr="005B2A17">
        <w:rPr>
          <w:rFonts w:ascii="Verdana" w:hAnsi="Verdana"/>
          <w:sz w:val="20"/>
        </w:rPr>
        <w:t> </w:t>
      </w:r>
    </w:p>
    <w:p w:rsidR="005B2A17" w:rsidRPr="005B2A17" w:rsidRDefault="005B2A17" w:rsidP="005B2A17">
      <w:pPr>
        <w:jc w:val="both"/>
        <w:rPr>
          <w:rFonts w:ascii="Verdana" w:hAnsi="Verdana"/>
          <w:sz w:val="20"/>
        </w:rPr>
      </w:pPr>
      <w:r w:rsidRPr="005B2A17">
        <w:rPr>
          <w:rFonts w:ascii="Verdana" w:hAnsi="Verdana"/>
          <w:b/>
          <w:bCs/>
          <w:sz w:val="20"/>
        </w:rPr>
        <w:t>2.6.6</w:t>
      </w:r>
      <w:r w:rsidRPr="005B2A17">
        <w:rPr>
          <w:rFonts w:ascii="Verdana" w:hAnsi="Verdana"/>
          <w:sz w:val="20"/>
        </w:rPr>
        <w:t>   Los Enlaces para Abasto Aislado de exportación son los siguientes:</w:t>
      </w:r>
    </w:p>
    <w:tbl>
      <w:tblPr>
        <w:tblW w:w="0" w:type="auto"/>
        <w:tblInd w:w="900" w:type="dxa"/>
        <w:shd w:val="clear" w:color="auto" w:fill="FFFFFF"/>
        <w:tblCellMar>
          <w:top w:w="15" w:type="dxa"/>
          <w:left w:w="15" w:type="dxa"/>
          <w:bottom w:w="15" w:type="dxa"/>
          <w:right w:w="15" w:type="dxa"/>
        </w:tblCellMar>
        <w:tblLook w:val="04A0" w:firstRow="1" w:lastRow="0" w:firstColumn="1" w:lastColumn="0" w:noHBand="0" w:noVBand="1"/>
      </w:tblPr>
      <w:tblGrid>
        <w:gridCol w:w="1084"/>
        <w:gridCol w:w="1803"/>
        <w:gridCol w:w="1591"/>
        <w:gridCol w:w="1014"/>
        <w:gridCol w:w="2590"/>
      </w:tblGrid>
      <w:tr w:rsidR="005B2A17" w:rsidRPr="005B2A17" w:rsidTr="005B2A17">
        <w:trPr>
          <w:trHeight w:val="358"/>
        </w:trPr>
        <w:tc>
          <w:tcPr>
            <w:tcW w:w="7920" w:type="dxa"/>
            <w:gridSpan w:val="5"/>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rsidR="005B2A17" w:rsidRPr="005B2A17" w:rsidRDefault="005B2A17" w:rsidP="005B2A17">
            <w:pPr>
              <w:jc w:val="both"/>
              <w:divId w:val="1462264793"/>
              <w:rPr>
                <w:rFonts w:ascii="Verdana" w:hAnsi="Verdana"/>
                <w:sz w:val="20"/>
              </w:rPr>
            </w:pPr>
            <w:r w:rsidRPr="005B2A17">
              <w:rPr>
                <w:rFonts w:ascii="Verdana" w:hAnsi="Verdana"/>
                <w:b/>
                <w:bCs/>
                <w:sz w:val="20"/>
              </w:rPr>
              <w:t>ENLACES PARA ABASTO AISLADO DE EXPORTACIÓN</w:t>
            </w:r>
          </w:p>
        </w:tc>
      </w:tr>
      <w:tr w:rsidR="005B2A17" w:rsidRPr="005B2A17" w:rsidTr="005B2A17">
        <w:trPr>
          <w:trHeight w:val="1311"/>
        </w:trPr>
        <w:tc>
          <w:tcPr>
            <w:tcW w:w="1188"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b/>
                <w:bCs/>
                <w:sz w:val="20"/>
              </w:rPr>
              <w:t>Región</w:t>
            </w:r>
          </w:p>
        </w:tc>
        <w:tc>
          <w:tcPr>
            <w:tcW w:w="259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b/>
                <w:bCs/>
                <w:sz w:val="20"/>
              </w:rPr>
              <w:t>Enlace México-Extranjero</w:t>
            </w:r>
          </w:p>
        </w:tc>
        <w:tc>
          <w:tcPr>
            <w:tcW w:w="1350"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b/>
                <w:bCs/>
                <w:sz w:val="20"/>
              </w:rPr>
              <w:t>Operador del</w:t>
            </w:r>
            <w:r w:rsidRPr="005B2A17">
              <w:rPr>
                <w:rFonts w:ascii="Verdana" w:hAnsi="Verdana"/>
                <w:sz w:val="20"/>
              </w:rPr>
              <w:br/>
            </w:r>
            <w:r w:rsidRPr="005B2A17">
              <w:rPr>
                <w:rFonts w:ascii="Verdana" w:hAnsi="Verdana"/>
                <w:b/>
                <w:bCs/>
                <w:sz w:val="20"/>
              </w:rPr>
              <w:t>Sistema</w:t>
            </w:r>
            <w:r w:rsidRPr="005B2A17">
              <w:rPr>
                <w:rFonts w:ascii="Verdana" w:hAnsi="Verdana"/>
                <w:sz w:val="20"/>
              </w:rPr>
              <w:br/>
            </w:r>
            <w:r w:rsidRPr="005B2A17">
              <w:rPr>
                <w:rFonts w:ascii="Verdana" w:hAnsi="Verdana"/>
                <w:b/>
                <w:bCs/>
                <w:sz w:val="20"/>
              </w:rPr>
              <w:t>Eléctrico-País</w:t>
            </w:r>
          </w:p>
        </w:tc>
        <w:tc>
          <w:tcPr>
            <w:tcW w:w="900"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b/>
                <w:bCs/>
                <w:sz w:val="20"/>
              </w:rPr>
              <w:t>Tensión</w:t>
            </w:r>
            <w:r w:rsidRPr="005B2A17">
              <w:rPr>
                <w:rFonts w:ascii="Verdana" w:hAnsi="Verdana"/>
                <w:sz w:val="20"/>
              </w:rPr>
              <w:br/>
            </w:r>
            <w:r w:rsidRPr="005B2A17">
              <w:rPr>
                <w:rFonts w:ascii="Verdana" w:hAnsi="Verdana"/>
                <w:b/>
                <w:bCs/>
                <w:sz w:val="20"/>
              </w:rPr>
              <w:t>(KV)</w:t>
            </w:r>
          </w:p>
        </w:tc>
        <w:tc>
          <w:tcPr>
            <w:tcW w:w="1890"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b/>
                <w:bCs/>
                <w:sz w:val="20"/>
              </w:rPr>
              <w:t>Capacidad de</w:t>
            </w:r>
            <w:r w:rsidRPr="005B2A17">
              <w:rPr>
                <w:rFonts w:ascii="Verdana" w:hAnsi="Verdana"/>
                <w:sz w:val="20"/>
              </w:rPr>
              <w:br/>
            </w:r>
            <w:r w:rsidRPr="005B2A17">
              <w:rPr>
                <w:rFonts w:ascii="Verdana" w:hAnsi="Verdana"/>
                <w:b/>
                <w:bCs/>
                <w:sz w:val="20"/>
              </w:rPr>
              <w:t>Transferencia</w:t>
            </w:r>
            <w:r w:rsidRPr="005B2A17">
              <w:rPr>
                <w:rFonts w:ascii="Verdana" w:hAnsi="Verdana"/>
                <w:sz w:val="20"/>
              </w:rPr>
              <w:br/>
            </w:r>
            <w:r w:rsidRPr="005B2A17">
              <w:rPr>
                <w:rFonts w:ascii="Verdana" w:hAnsi="Verdana"/>
                <w:b/>
                <w:bCs/>
                <w:sz w:val="20"/>
              </w:rPr>
              <w:t>Disponible/Capacidad</w:t>
            </w:r>
            <w:r w:rsidRPr="005B2A17">
              <w:rPr>
                <w:rFonts w:ascii="Verdana" w:hAnsi="Verdana"/>
                <w:sz w:val="20"/>
              </w:rPr>
              <w:br/>
            </w:r>
            <w:r w:rsidRPr="005B2A17">
              <w:rPr>
                <w:rFonts w:ascii="Verdana" w:hAnsi="Verdana"/>
                <w:b/>
                <w:bCs/>
                <w:sz w:val="20"/>
              </w:rPr>
              <w:t>Total de Transferencia</w:t>
            </w:r>
            <w:r w:rsidRPr="005B2A17">
              <w:rPr>
                <w:rFonts w:ascii="Verdana" w:hAnsi="Verdana"/>
                <w:sz w:val="20"/>
              </w:rPr>
              <w:br/>
            </w:r>
            <w:r w:rsidRPr="005B2A17">
              <w:rPr>
                <w:rFonts w:ascii="Verdana" w:hAnsi="Verdana"/>
                <w:b/>
                <w:bCs/>
                <w:sz w:val="20"/>
              </w:rPr>
              <w:t>(MW)</w:t>
            </w:r>
            <w:r w:rsidRPr="005B2A17">
              <w:rPr>
                <w:rFonts w:ascii="Verdana" w:hAnsi="Verdana"/>
                <w:sz w:val="20"/>
              </w:rPr>
              <w:t> </w:t>
            </w:r>
            <w:r w:rsidRPr="005B2A17">
              <w:rPr>
                <w:rFonts w:ascii="Verdana" w:hAnsi="Verdana"/>
                <w:b/>
                <w:bCs/>
                <w:sz w:val="20"/>
              </w:rPr>
              <w:t>1</w:t>
            </w:r>
          </w:p>
        </w:tc>
      </w:tr>
      <w:tr w:rsidR="005B2A17" w:rsidRPr="005B2A17" w:rsidTr="005B2A17">
        <w:trPr>
          <w:trHeight w:val="585"/>
        </w:trPr>
        <w:tc>
          <w:tcPr>
            <w:tcW w:w="1188"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Baja</w:t>
            </w:r>
            <w:r w:rsidRPr="005B2A17">
              <w:rPr>
                <w:rFonts w:ascii="Verdana" w:hAnsi="Verdana"/>
                <w:sz w:val="20"/>
              </w:rPr>
              <w:br/>
              <w:t>California</w:t>
            </w:r>
          </w:p>
        </w:tc>
        <w:tc>
          <w:tcPr>
            <w:tcW w:w="25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Termoeléctrica de Mexicali</w:t>
            </w:r>
            <w:r w:rsidRPr="005B2A17">
              <w:rPr>
                <w:rFonts w:ascii="Verdana" w:hAnsi="Verdana"/>
                <w:sz w:val="20"/>
              </w:rPr>
              <w:br/>
              <w:t>Imperial Valley</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CAISO-EUA</w:t>
            </w:r>
          </w:p>
        </w:tc>
        <w:tc>
          <w:tcPr>
            <w:tcW w:w="9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230</w:t>
            </w:r>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625/1200</w:t>
            </w:r>
          </w:p>
        </w:tc>
      </w:tr>
      <w:tr w:rsidR="005B2A17" w:rsidRPr="005B2A17" w:rsidTr="005B2A17">
        <w:trPr>
          <w:trHeight w:val="343"/>
        </w:trPr>
        <w:tc>
          <w:tcPr>
            <w:tcW w:w="0" w:type="auto"/>
            <w:vMerge/>
            <w:tcBorders>
              <w:top w:val="single" w:sz="6" w:space="0" w:color="000000"/>
              <w:left w:val="single" w:sz="6" w:space="0" w:color="000000"/>
              <w:right w:val="single" w:sz="6" w:space="0" w:color="000000"/>
            </w:tcBorders>
            <w:shd w:val="clear" w:color="auto" w:fill="FFFFFF"/>
            <w:vAlign w:val="center"/>
            <w:hideMark/>
          </w:tcPr>
          <w:p w:rsidR="005B2A17" w:rsidRPr="005B2A17" w:rsidRDefault="005B2A17" w:rsidP="005B2A17">
            <w:pPr>
              <w:jc w:val="both"/>
              <w:rPr>
                <w:rFonts w:ascii="Verdana" w:hAnsi="Verdana"/>
                <w:sz w:val="20"/>
              </w:rPr>
            </w:pPr>
          </w:p>
        </w:tc>
        <w:tc>
          <w:tcPr>
            <w:tcW w:w="25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 xml:space="preserve">Central La </w:t>
            </w:r>
            <w:proofErr w:type="spellStart"/>
            <w:r w:rsidRPr="005B2A17">
              <w:rPr>
                <w:rFonts w:ascii="Verdana" w:hAnsi="Verdana"/>
                <w:sz w:val="20"/>
              </w:rPr>
              <w:t>RositaImperial</w:t>
            </w:r>
            <w:proofErr w:type="spellEnd"/>
            <w:r w:rsidRPr="005B2A17">
              <w:rPr>
                <w:rFonts w:ascii="Verdana" w:hAnsi="Verdana"/>
                <w:sz w:val="20"/>
              </w:rPr>
              <w:t xml:space="preserve"> Valley</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CAISO-EUA</w:t>
            </w:r>
          </w:p>
        </w:tc>
        <w:tc>
          <w:tcPr>
            <w:tcW w:w="9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230</w:t>
            </w:r>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485/800</w:t>
            </w:r>
          </w:p>
        </w:tc>
      </w:tr>
      <w:tr w:rsidR="005B2A17" w:rsidRPr="005B2A17" w:rsidTr="005B2A17">
        <w:trPr>
          <w:trHeight w:val="600"/>
        </w:trPr>
        <w:tc>
          <w:tcPr>
            <w:tcW w:w="0" w:type="auto"/>
            <w:vMerge/>
            <w:tcBorders>
              <w:top w:val="single" w:sz="6" w:space="0" w:color="000000"/>
              <w:left w:val="single" w:sz="6" w:space="0" w:color="000000"/>
              <w:right w:val="single" w:sz="6" w:space="0" w:color="000000"/>
            </w:tcBorders>
            <w:shd w:val="clear" w:color="auto" w:fill="FFFFFF"/>
            <w:vAlign w:val="center"/>
            <w:hideMark/>
          </w:tcPr>
          <w:p w:rsidR="005B2A17" w:rsidRPr="005B2A17" w:rsidRDefault="005B2A17" w:rsidP="005B2A17">
            <w:pPr>
              <w:jc w:val="both"/>
              <w:rPr>
                <w:rFonts w:ascii="Verdana" w:hAnsi="Verdana"/>
                <w:sz w:val="20"/>
              </w:rPr>
            </w:pPr>
          </w:p>
        </w:tc>
        <w:tc>
          <w:tcPr>
            <w:tcW w:w="25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Sierra Juárez-East County</w:t>
            </w:r>
            <w:r w:rsidRPr="005B2A17">
              <w:rPr>
                <w:rFonts w:ascii="Verdana" w:hAnsi="Verdana"/>
                <w:sz w:val="20"/>
              </w:rPr>
              <w:br/>
            </w:r>
            <w:proofErr w:type="spellStart"/>
            <w:r w:rsidRPr="005B2A17">
              <w:rPr>
                <w:rFonts w:ascii="Verdana" w:hAnsi="Verdana"/>
                <w:sz w:val="20"/>
              </w:rPr>
              <w:t>Substation</w:t>
            </w:r>
            <w:proofErr w:type="spellEnd"/>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CAISO-EUA</w:t>
            </w:r>
          </w:p>
        </w:tc>
        <w:tc>
          <w:tcPr>
            <w:tcW w:w="9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230</w:t>
            </w:r>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1500</w:t>
            </w:r>
          </w:p>
        </w:tc>
      </w:tr>
    </w:tbl>
    <w:p w:rsidR="005B2A17" w:rsidRPr="005B2A17" w:rsidRDefault="005B2A17" w:rsidP="005B2A17">
      <w:pPr>
        <w:jc w:val="both"/>
        <w:rPr>
          <w:rFonts w:ascii="Verdana" w:hAnsi="Verdana"/>
          <w:sz w:val="20"/>
        </w:rPr>
      </w:pPr>
      <w:r w:rsidRPr="005B2A17">
        <w:rPr>
          <w:rFonts w:ascii="Verdana" w:hAnsi="Verdana"/>
          <w:sz w:val="20"/>
        </w:rPr>
        <w:t> </w:t>
      </w:r>
    </w:p>
    <w:p w:rsidR="005B2A17" w:rsidRPr="005B2A17" w:rsidRDefault="005B2A17" w:rsidP="005B2A17">
      <w:pPr>
        <w:jc w:val="both"/>
        <w:rPr>
          <w:rFonts w:ascii="Verdana" w:hAnsi="Verdana"/>
          <w:sz w:val="20"/>
        </w:rPr>
      </w:pPr>
      <w:r w:rsidRPr="005B2A17">
        <w:rPr>
          <w:rFonts w:ascii="Verdana" w:hAnsi="Verdana"/>
          <w:b/>
          <w:bCs/>
          <w:sz w:val="20"/>
        </w:rPr>
        <w:t>2.7</w:t>
      </w:r>
      <w:r w:rsidRPr="005B2A17">
        <w:rPr>
          <w:rFonts w:ascii="Verdana" w:hAnsi="Verdana"/>
          <w:sz w:val="20"/>
        </w:rPr>
        <w:t>      </w:t>
      </w:r>
      <w:r w:rsidRPr="005B2A17">
        <w:rPr>
          <w:rFonts w:ascii="Verdana" w:hAnsi="Verdana"/>
          <w:b/>
          <w:bCs/>
          <w:sz w:val="20"/>
        </w:rPr>
        <w:t>Actualización de características de Enlaces</w:t>
      </w:r>
    </w:p>
    <w:p w:rsidR="005B2A17" w:rsidRPr="005B2A17" w:rsidRDefault="005B2A17" w:rsidP="005B2A17">
      <w:pPr>
        <w:jc w:val="both"/>
        <w:rPr>
          <w:rFonts w:ascii="Verdana" w:hAnsi="Verdana"/>
          <w:sz w:val="20"/>
        </w:rPr>
      </w:pPr>
      <w:r w:rsidRPr="005B2A17">
        <w:rPr>
          <w:rFonts w:ascii="Verdana" w:hAnsi="Verdana"/>
          <w:sz w:val="20"/>
        </w:rPr>
        <w:t>(a)  El CENACE podrá actualizar las definiciones o capacidades de los Enlaces mediante la publicación de una versión actualizada de las tablas correspondientes, en los formatos presentados en este numeral 2.</w:t>
      </w:r>
    </w:p>
    <w:p w:rsidR="005B2A17" w:rsidRPr="005B2A17" w:rsidRDefault="005B2A17" w:rsidP="005B2A17">
      <w:pPr>
        <w:jc w:val="both"/>
        <w:rPr>
          <w:rFonts w:ascii="Verdana" w:hAnsi="Verdana"/>
          <w:sz w:val="20"/>
        </w:rPr>
      </w:pPr>
      <w:r w:rsidRPr="005B2A17">
        <w:rPr>
          <w:rFonts w:ascii="Verdana" w:hAnsi="Verdana"/>
          <w:sz w:val="20"/>
        </w:rPr>
        <w:lastRenderedPageBreak/>
        <w:t>(b)  Las actualizaciones podrán ser permanentes o temporales. Al publicar una tabla actualizada, el CENACE deberá especificar la fecha de inicio de vigencia y, en caso de ser temporal, la fecha de fin de vigencia.</w:t>
      </w:r>
    </w:p>
    <w:p w:rsidR="005B2A17" w:rsidRPr="005B2A17" w:rsidRDefault="005B2A17" w:rsidP="005B2A17">
      <w:pPr>
        <w:jc w:val="both"/>
        <w:rPr>
          <w:rFonts w:ascii="Verdana" w:hAnsi="Verdana"/>
          <w:sz w:val="20"/>
        </w:rPr>
      </w:pPr>
      <w:r w:rsidRPr="005B2A17">
        <w:rPr>
          <w:rFonts w:ascii="Verdana" w:hAnsi="Verdana"/>
          <w:sz w:val="20"/>
        </w:rPr>
        <w:t>(c)  La información relativa a las actualizaciones deberá publicarse en el área pública del Sistema de Información de Mercado de manera inmediata una vez que se haya determinado, y deberá permanecer disponible por un periodo mínimo de 5 años. En caso de cambios a las fechas de vigencia de una actualización, la información disponible deberá incluir el historial completo de las fechas de vigencia originales y corregidas.</w:t>
      </w:r>
    </w:p>
    <w:p w:rsidR="005B2A17" w:rsidRPr="005B2A17" w:rsidRDefault="005B2A17" w:rsidP="005B2A17">
      <w:pPr>
        <w:jc w:val="both"/>
        <w:rPr>
          <w:rFonts w:ascii="Verdana" w:hAnsi="Verdana"/>
          <w:sz w:val="20"/>
        </w:rPr>
      </w:pPr>
      <w:r w:rsidRPr="005B2A17">
        <w:rPr>
          <w:rFonts w:ascii="Verdana" w:hAnsi="Verdana"/>
          <w:sz w:val="20"/>
        </w:rPr>
        <w:t> </w:t>
      </w:r>
    </w:p>
    <w:p w:rsidR="005B2A17" w:rsidRPr="005B2A17" w:rsidRDefault="005B2A17" w:rsidP="005B2A17">
      <w:pPr>
        <w:jc w:val="both"/>
        <w:rPr>
          <w:rFonts w:ascii="Verdana" w:hAnsi="Verdana"/>
          <w:sz w:val="20"/>
        </w:rPr>
      </w:pPr>
      <w:r w:rsidRPr="005B2A17">
        <w:rPr>
          <w:rFonts w:ascii="Verdana" w:hAnsi="Verdana"/>
          <w:b/>
          <w:bCs/>
          <w:sz w:val="20"/>
        </w:rPr>
        <w:t>CAPÍTULO 3</w:t>
      </w:r>
    </w:p>
    <w:p w:rsidR="005B2A17" w:rsidRPr="005B2A17" w:rsidRDefault="005B2A17" w:rsidP="005B2A17">
      <w:pPr>
        <w:jc w:val="both"/>
        <w:rPr>
          <w:rFonts w:ascii="Verdana" w:hAnsi="Verdana"/>
          <w:sz w:val="20"/>
        </w:rPr>
      </w:pPr>
      <w:r w:rsidRPr="005B2A17">
        <w:rPr>
          <w:rFonts w:ascii="Verdana" w:hAnsi="Verdana"/>
          <w:b/>
          <w:bCs/>
          <w:sz w:val="20"/>
        </w:rPr>
        <w:t>Derechos y Obligaciones</w:t>
      </w:r>
    </w:p>
    <w:p w:rsidR="005B2A17" w:rsidRPr="005B2A17" w:rsidRDefault="005B2A17" w:rsidP="005B2A17">
      <w:pPr>
        <w:jc w:val="both"/>
        <w:rPr>
          <w:rFonts w:ascii="Verdana" w:hAnsi="Verdana"/>
          <w:sz w:val="20"/>
        </w:rPr>
      </w:pPr>
      <w:r w:rsidRPr="005B2A17">
        <w:rPr>
          <w:rFonts w:ascii="Verdana" w:hAnsi="Verdana"/>
          <w:b/>
          <w:bCs/>
          <w:sz w:val="20"/>
        </w:rPr>
        <w:t>3.1</w:t>
      </w:r>
      <w:r w:rsidRPr="005B2A17">
        <w:rPr>
          <w:rFonts w:ascii="Verdana" w:hAnsi="Verdana"/>
          <w:sz w:val="20"/>
        </w:rPr>
        <w:t>      </w:t>
      </w:r>
      <w:r w:rsidRPr="005B2A17">
        <w:rPr>
          <w:rFonts w:ascii="Verdana" w:hAnsi="Verdana"/>
          <w:b/>
          <w:bCs/>
          <w:sz w:val="20"/>
        </w:rPr>
        <w:t>Derechos y Obligaciones de los Transportistas y Distribuidores</w:t>
      </w:r>
    </w:p>
    <w:p w:rsidR="005B2A17" w:rsidRPr="005B2A17" w:rsidRDefault="005B2A17" w:rsidP="005B2A17">
      <w:pPr>
        <w:jc w:val="both"/>
        <w:rPr>
          <w:rFonts w:ascii="Verdana" w:hAnsi="Verdana"/>
          <w:sz w:val="20"/>
        </w:rPr>
      </w:pPr>
      <w:r w:rsidRPr="005B2A17">
        <w:rPr>
          <w:rFonts w:ascii="Verdana" w:hAnsi="Verdana"/>
          <w:b/>
          <w:bCs/>
          <w:sz w:val="20"/>
        </w:rPr>
        <w:t>3.1.1</w:t>
      </w:r>
      <w:r w:rsidRPr="005B2A17">
        <w:rPr>
          <w:rFonts w:ascii="Verdana" w:hAnsi="Verdana"/>
          <w:sz w:val="20"/>
        </w:rPr>
        <w:t>   Los Transportistas y Distribuidores tendrán las siguientes obligaciones:</w:t>
      </w:r>
    </w:p>
    <w:p w:rsidR="005B2A17" w:rsidRPr="005B2A17" w:rsidRDefault="005B2A17" w:rsidP="005B2A17">
      <w:pPr>
        <w:jc w:val="both"/>
        <w:rPr>
          <w:rFonts w:ascii="Verdana" w:hAnsi="Verdana"/>
          <w:sz w:val="20"/>
        </w:rPr>
      </w:pPr>
      <w:r w:rsidRPr="005B2A17">
        <w:rPr>
          <w:rFonts w:ascii="Verdana" w:hAnsi="Verdana"/>
          <w:sz w:val="20"/>
        </w:rPr>
        <w:t>(a)  Operar los Enlaces de Interconexión que forman parte de la Red Nacional de Transmisión y las Redes Generales de Distribución que corresponden al Mercado Eléctrico Mayorista, de conformidad con las instrucciones que emita el CENACE y abstenerse de hacer cambios en el estado o funcionamiento de los equipos que pudieran afectar la disponibilidad de un Enlace de Interconexión sin la aprobación previa del CENACE.</w:t>
      </w:r>
    </w:p>
    <w:p w:rsidR="005B2A17" w:rsidRPr="005B2A17" w:rsidRDefault="005B2A17" w:rsidP="005B2A17">
      <w:pPr>
        <w:jc w:val="both"/>
        <w:rPr>
          <w:rFonts w:ascii="Verdana" w:hAnsi="Verdana"/>
          <w:sz w:val="20"/>
        </w:rPr>
      </w:pPr>
      <w:r w:rsidRPr="005B2A17">
        <w:rPr>
          <w:rFonts w:ascii="Verdana" w:hAnsi="Verdana"/>
          <w:sz w:val="20"/>
        </w:rPr>
        <w:t>(b)  Operar los Enlaces de Interconexión que formen parte de la Red Nacional de Transmisión y las Redes Generales de Distribución que corresponden al Mercado Eléctrico Mayorista, de conformidad con el Código de Red y sus disposiciones operativas.</w:t>
      </w:r>
    </w:p>
    <w:p w:rsidR="005B2A17" w:rsidRPr="005B2A17" w:rsidRDefault="005B2A17" w:rsidP="005B2A17">
      <w:pPr>
        <w:jc w:val="both"/>
        <w:rPr>
          <w:rFonts w:ascii="Verdana" w:hAnsi="Verdana"/>
          <w:sz w:val="20"/>
        </w:rPr>
      </w:pPr>
      <w:r w:rsidRPr="005B2A17">
        <w:rPr>
          <w:rFonts w:ascii="Verdana" w:hAnsi="Verdana"/>
          <w:sz w:val="20"/>
        </w:rPr>
        <w:t>(c)  Mantener informado al CENACE sobre la disponibilidad, capacidad total de transferencia y las mediciones de los Enlaces de Interconexión en los tiempos establecidos en las disposiciones operativas que apliquen.</w:t>
      </w:r>
    </w:p>
    <w:p w:rsidR="005B2A17" w:rsidRPr="005B2A17" w:rsidRDefault="005B2A17" w:rsidP="005B2A17">
      <w:pPr>
        <w:jc w:val="both"/>
        <w:rPr>
          <w:rFonts w:ascii="Verdana" w:hAnsi="Verdana"/>
          <w:sz w:val="20"/>
        </w:rPr>
      </w:pPr>
      <w:r w:rsidRPr="005B2A17">
        <w:rPr>
          <w:rFonts w:ascii="Verdana" w:hAnsi="Verdana"/>
          <w:sz w:val="20"/>
        </w:rPr>
        <w:t>(d)  Cumplir con lo establecido en el Código de Conducta.</w:t>
      </w:r>
    </w:p>
    <w:p w:rsidR="005B2A17" w:rsidRPr="005B2A17" w:rsidRDefault="005B2A17" w:rsidP="005B2A17">
      <w:pPr>
        <w:jc w:val="both"/>
        <w:rPr>
          <w:rFonts w:ascii="Verdana" w:hAnsi="Verdana"/>
          <w:sz w:val="20"/>
        </w:rPr>
      </w:pPr>
      <w:r w:rsidRPr="005B2A17">
        <w:rPr>
          <w:rFonts w:ascii="Verdana" w:hAnsi="Verdana"/>
          <w:sz w:val="20"/>
        </w:rPr>
        <w:t>(e)  Cumplir con los requisitos mínimos para la comunicación e intercambio de información con el CENACE y los demás requisitos establecidos en el Código de Red.</w:t>
      </w:r>
    </w:p>
    <w:p w:rsidR="005B2A17" w:rsidRPr="005B2A17" w:rsidRDefault="005B2A17" w:rsidP="005B2A17">
      <w:pPr>
        <w:jc w:val="both"/>
        <w:rPr>
          <w:rFonts w:ascii="Verdana" w:hAnsi="Verdana"/>
          <w:sz w:val="20"/>
        </w:rPr>
      </w:pPr>
      <w:r w:rsidRPr="005B2A17">
        <w:rPr>
          <w:rFonts w:ascii="Verdana" w:hAnsi="Verdana"/>
          <w:sz w:val="20"/>
        </w:rPr>
        <w:t>(f)   Cumplir con los términos establecidos en los Convenios/Contrato de Interconexión celebrados con el CENACE.</w:t>
      </w:r>
    </w:p>
    <w:p w:rsidR="005B2A17" w:rsidRPr="005B2A17" w:rsidRDefault="005B2A17" w:rsidP="005B2A17">
      <w:pPr>
        <w:jc w:val="both"/>
        <w:rPr>
          <w:rFonts w:ascii="Verdana" w:hAnsi="Verdana"/>
          <w:sz w:val="20"/>
        </w:rPr>
      </w:pPr>
      <w:r w:rsidRPr="005B2A17">
        <w:rPr>
          <w:rFonts w:ascii="Verdana" w:hAnsi="Verdana"/>
          <w:b/>
          <w:bCs/>
          <w:sz w:val="20"/>
        </w:rPr>
        <w:t>3.1.2</w:t>
      </w:r>
      <w:r w:rsidRPr="005B2A17">
        <w:rPr>
          <w:rFonts w:ascii="Verdana" w:hAnsi="Verdana"/>
          <w:sz w:val="20"/>
        </w:rPr>
        <w:t>   Los Transportistas no tendrán responsabilidad por los costos que se incurran en el Mercado Eléctrico Mayorista por los cambios en los programas de intercambio en los Enlaces de Interconexión como resultado de caso fortuito o fuerza mayor, conforme a lo establecido en el Código de Red.</w:t>
      </w:r>
    </w:p>
    <w:p w:rsidR="005B2A17" w:rsidRPr="005B2A17" w:rsidRDefault="005B2A17" w:rsidP="005B2A17">
      <w:pPr>
        <w:jc w:val="both"/>
        <w:rPr>
          <w:rFonts w:ascii="Verdana" w:hAnsi="Verdana"/>
          <w:sz w:val="20"/>
        </w:rPr>
      </w:pPr>
      <w:r w:rsidRPr="005B2A17">
        <w:rPr>
          <w:rFonts w:ascii="Verdana" w:hAnsi="Verdana"/>
          <w:b/>
          <w:bCs/>
          <w:sz w:val="20"/>
        </w:rPr>
        <w:lastRenderedPageBreak/>
        <w:t>3.2</w:t>
      </w:r>
      <w:r w:rsidRPr="005B2A17">
        <w:rPr>
          <w:rFonts w:ascii="Verdana" w:hAnsi="Verdana"/>
          <w:sz w:val="20"/>
        </w:rPr>
        <w:t>      </w:t>
      </w:r>
      <w:r w:rsidRPr="005B2A17">
        <w:rPr>
          <w:rFonts w:ascii="Verdana" w:hAnsi="Verdana"/>
          <w:b/>
          <w:bCs/>
          <w:sz w:val="20"/>
        </w:rPr>
        <w:t>Derechos y Obligaciones de los Participantes del Mercado</w:t>
      </w:r>
    </w:p>
    <w:p w:rsidR="005B2A17" w:rsidRPr="005B2A17" w:rsidRDefault="005B2A17" w:rsidP="005B2A17">
      <w:pPr>
        <w:jc w:val="both"/>
        <w:rPr>
          <w:rFonts w:ascii="Verdana" w:hAnsi="Verdana"/>
          <w:sz w:val="20"/>
        </w:rPr>
      </w:pPr>
      <w:r w:rsidRPr="005B2A17">
        <w:rPr>
          <w:rFonts w:ascii="Verdana" w:hAnsi="Verdana"/>
          <w:b/>
          <w:bCs/>
          <w:sz w:val="20"/>
        </w:rPr>
        <w:t>3.2.1</w:t>
      </w:r>
      <w:r w:rsidRPr="005B2A17">
        <w:rPr>
          <w:rFonts w:ascii="Verdana" w:hAnsi="Verdana"/>
          <w:sz w:val="20"/>
        </w:rPr>
        <w:t xml:space="preserve">   Para poder implementar transacciones de compra o venta de energía eléctrica con los Sistemas Eléctricos Vecinos, es responsabilidad de los Participantes del Mercado cumplir con las obligaciones fiscales, hacendarias y demás regulación vigente en materia de importaciones y exportaciones en México y, en lo que les aplique, con los requisitos establecidos por las entidades que regulan las transacciones de energía en los Sistemas Eléctricos Vecinos. El CENACE podrá exigir que los Participantes de Mercado comprueben el cumplimiento de estas obligaciones </w:t>
      </w:r>
      <w:proofErr w:type="spellStart"/>
      <w:r w:rsidRPr="005B2A17">
        <w:rPr>
          <w:rFonts w:ascii="Verdana" w:hAnsi="Verdana"/>
          <w:sz w:val="20"/>
        </w:rPr>
        <w:t>yrequisitos</w:t>
      </w:r>
      <w:proofErr w:type="spellEnd"/>
      <w:r w:rsidRPr="005B2A17">
        <w:rPr>
          <w:rFonts w:ascii="Verdana" w:hAnsi="Verdana"/>
          <w:sz w:val="20"/>
        </w:rPr>
        <w:t xml:space="preserve"> antes de permitir la realización de transacciones de importación y exportación. En ningún caso esta comprobación será requisito para que un interesado se registre como Participante de Mercado.</w:t>
      </w:r>
    </w:p>
    <w:p w:rsidR="005B2A17" w:rsidRPr="005B2A17" w:rsidRDefault="005B2A17" w:rsidP="005B2A17">
      <w:pPr>
        <w:jc w:val="both"/>
        <w:rPr>
          <w:rFonts w:ascii="Verdana" w:hAnsi="Verdana"/>
          <w:sz w:val="20"/>
        </w:rPr>
      </w:pPr>
      <w:r w:rsidRPr="005B2A17">
        <w:rPr>
          <w:rFonts w:ascii="Verdana" w:hAnsi="Verdana"/>
          <w:b/>
          <w:bCs/>
          <w:sz w:val="20"/>
        </w:rPr>
        <w:t>3.2.2</w:t>
      </w:r>
      <w:r w:rsidRPr="005B2A17">
        <w:rPr>
          <w:rFonts w:ascii="Verdana" w:hAnsi="Verdana"/>
          <w:sz w:val="20"/>
        </w:rPr>
        <w:t>   Los Participantes del Mercado podrán presentar ofertas de compra y venta para la importación y exportación de energía eléctrica para uno o más enlaces de interconexión durante una misma hora.</w:t>
      </w:r>
    </w:p>
    <w:p w:rsidR="005B2A17" w:rsidRPr="005B2A17" w:rsidRDefault="005B2A17" w:rsidP="005B2A17">
      <w:pPr>
        <w:jc w:val="both"/>
        <w:rPr>
          <w:rFonts w:ascii="Verdana" w:hAnsi="Verdana"/>
          <w:sz w:val="20"/>
        </w:rPr>
      </w:pPr>
      <w:r w:rsidRPr="005B2A17">
        <w:rPr>
          <w:rFonts w:ascii="Verdana" w:hAnsi="Verdana"/>
          <w:b/>
          <w:bCs/>
          <w:sz w:val="20"/>
        </w:rPr>
        <w:t>3.2.3</w:t>
      </w:r>
      <w:r w:rsidRPr="005B2A17">
        <w:rPr>
          <w:rFonts w:ascii="Verdana" w:hAnsi="Verdana"/>
          <w:sz w:val="20"/>
        </w:rPr>
        <w:t>   Los Participantes del Mercado son responsables ante el CENACE de los cargos y abonos que resulten por las importaciones y/o exportaciones que realicen en el Mercado Eléctrico Mayorista, de conformidad con el Manual de Liquidaciones.</w:t>
      </w:r>
    </w:p>
    <w:p w:rsidR="005B2A17" w:rsidRPr="005B2A17" w:rsidRDefault="005B2A17" w:rsidP="005B2A17">
      <w:pPr>
        <w:jc w:val="both"/>
        <w:rPr>
          <w:rFonts w:ascii="Verdana" w:hAnsi="Verdana"/>
          <w:sz w:val="20"/>
        </w:rPr>
      </w:pPr>
      <w:r w:rsidRPr="005B2A17">
        <w:rPr>
          <w:rFonts w:ascii="Verdana" w:hAnsi="Verdana"/>
          <w:b/>
          <w:bCs/>
          <w:sz w:val="20"/>
        </w:rPr>
        <w:t>3.2.4</w:t>
      </w:r>
      <w:r w:rsidRPr="005B2A17">
        <w:rPr>
          <w:rFonts w:ascii="Verdana" w:hAnsi="Verdana"/>
          <w:sz w:val="20"/>
        </w:rPr>
        <w:t xml:space="preserve">   Los Participantes del Mercado reconocen que la programación de la importación y exportación de energía eléctrica a través de los Enlaces de Interconexión podrá ser reducida o interrumpida por el CENACE o por el Operador del Sistema Eléctrico Vecino en caso de presentarse un estado operativo de emergencia o condiciones que pongan en riesgo la Confiabilidad en el Sistema Eléctrico Nacional, reducciones en la Capacidad de Transferencia Disponible o indisponibilidades en los Puntos de Entrega y Recepción. El CENACE liquidará las cantidades finales de </w:t>
      </w:r>
      <w:proofErr w:type="spellStart"/>
      <w:r w:rsidRPr="005B2A17">
        <w:rPr>
          <w:rFonts w:ascii="Verdana" w:hAnsi="Verdana"/>
          <w:sz w:val="20"/>
        </w:rPr>
        <w:t>energíaeléctrica</w:t>
      </w:r>
      <w:proofErr w:type="spellEnd"/>
      <w:r w:rsidRPr="005B2A17">
        <w:rPr>
          <w:rFonts w:ascii="Verdana" w:hAnsi="Verdana"/>
          <w:sz w:val="20"/>
        </w:rPr>
        <w:t xml:space="preserve"> programadas para la importación y exportación que resulten de la reducción o interrupción de dicha programación.</w:t>
      </w:r>
    </w:p>
    <w:p w:rsidR="005B2A17" w:rsidRPr="005B2A17" w:rsidRDefault="005B2A17" w:rsidP="005B2A17">
      <w:pPr>
        <w:jc w:val="both"/>
        <w:rPr>
          <w:rFonts w:ascii="Verdana" w:hAnsi="Verdana"/>
          <w:sz w:val="20"/>
        </w:rPr>
      </w:pPr>
      <w:r w:rsidRPr="005B2A17">
        <w:rPr>
          <w:rFonts w:ascii="Verdana" w:hAnsi="Verdana"/>
          <w:b/>
          <w:bCs/>
          <w:sz w:val="20"/>
        </w:rPr>
        <w:t>3.3</w:t>
      </w:r>
      <w:r w:rsidRPr="005B2A17">
        <w:rPr>
          <w:rFonts w:ascii="Verdana" w:hAnsi="Verdana"/>
          <w:sz w:val="20"/>
        </w:rPr>
        <w:t>      </w:t>
      </w:r>
      <w:r w:rsidRPr="005B2A17">
        <w:rPr>
          <w:rFonts w:ascii="Verdana" w:hAnsi="Verdana"/>
          <w:b/>
          <w:bCs/>
          <w:sz w:val="20"/>
        </w:rPr>
        <w:t>Derechos y Obligaciones del Generador de Intermediación</w:t>
      </w:r>
    </w:p>
    <w:p w:rsidR="005B2A17" w:rsidRPr="005B2A17" w:rsidRDefault="005B2A17" w:rsidP="005B2A17">
      <w:pPr>
        <w:jc w:val="both"/>
        <w:rPr>
          <w:rFonts w:ascii="Verdana" w:hAnsi="Verdana"/>
          <w:sz w:val="20"/>
        </w:rPr>
      </w:pPr>
      <w:r w:rsidRPr="005B2A17">
        <w:rPr>
          <w:rFonts w:ascii="Verdana" w:hAnsi="Verdana"/>
          <w:b/>
          <w:bCs/>
          <w:sz w:val="20"/>
        </w:rPr>
        <w:t>3.3.1</w:t>
      </w:r>
      <w:r w:rsidRPr="005B2A17">
        <w:rPr>
          <w:rFonts w:ascii="Verdana" w:hAnsi="Verdana"/>
          <w:sz w:val="20"/>
        </w:rPr>
        <w:t>   El Generador de Intermediación deberá cumplir con lo dispuesto en el Código de Red y demás disposiciones emitidas por la CRE en materia de la operación Confiable y Segura del Sistema Eléctrico Nacional. El Generador de Intermediación dará cumplimiento a los demás criterios para la operación Confiable y Segura del Sistema Eléctrico Nacional que se establezcan en los manuales, procedimientos, criterios, guías y lineamientos establecidos en las disposiciones operativas del Mercado Eléctrico Mayorista.</w:t>
      </w:r>
    </w:p>
    <w:p w:rsidR="005B2A17" w:rsidRPr="005B2A17" w:rsidRDefault="005B2A17" w:rsidP="005B2A17">
      <w:pPr>
        <w:jc w:val="both"/>
        <w:rPr>
          <w:rFonts w:ascii="Verdana" w:hAnsi="Verdana"/>
          <w:sz w:val="20"/>
        </w:rPr>
      </w:pPr>
      <w:r w:rsidRPr="005B2A17">
        <w:rPr>
          <w:rFonts w:ascii="Verdana" w:hAnsi="Verdana"/>
          <w:sz w:val="20"/>
        </w:rPr>
        <w:t> </w:t>
      </w:r>
    </w:p>
    <w:p w:rsidR="005B2A17" w:rsidRPr="005B2A17" w:rsidRDefault="005B2A17" w:rsidP="005B2A17">
      <w:pPr>
        <w:jc w:val="both"/>
        <w:rPr>
          <w:rFonts w:ascii="Verdana" w:hAnsi="Verdana"/>
          <w:sz w:val="20"/>
        </w:rPr>
      </w:pPr>
      <w:r w:rsidRPr="005B2A17">
        <w:rPr>
          <w:rFonts w:ascii="Verdana" w:hAnsi="Verdana"/>
          <w:b/>
          <w:bCs/>
          <w:sz w:val="20"/>
        </w:rPr>
        <w:t>3.3.2</w:t>
      </w:r>
      <w:r w:rsidRPr="005B2A17">
        <w:rPr>
          <w:rFonts w:ascii="Verdana" w:hAnsi="Verdana"/>
          <w:sz w:val="20"/>
        </w:rPr>
        <w:t>    Los Titulares de los Contratos de Interconexión Legados se coordinarán con el Generador de Intermediación para hacerle llegar los programas solicitados de importación y exportación de energías.</w:t>
      </w:r>
    </w:p>
    <w:p w:rsidR="005B2A17" w:rsidRPr="005B2A17" w:rsidRDefault="005B2A17" w:rsidP="005B2A17">
      <w:pPr>
        <w:jc w:val="both"/>
        <w:rPr>
          <w:rFonts w:ascii="Verdana" w:hAnsi="Verdana"/>
          <w:sz w:val="20"/>
        </w:rPr>
      </w:pPr>
      <w:r w:rsidRPr="005B2A17">
        <w:rPr>
          <w:rFonts w:ascii="Verdana" w:hAnsi="Verdana"/>
          <w:b/>
          <w:bCs/>
          <w:sz w:val="20"/>
        </w:rPr>
        <w:t>3.3.3</w:t>
      </w:r>
      <w:r w:rsidRPr="005B2A17">
        <w:rPr>
          <w:rFonts w:ascii="Verdana" w:hAnsi="Verdana"/>
          <w:sz w:val="20"/>
        </w:rPr>
        <w:t xml:space="preserve">    El Generador de Intermediación deberá presentar ante el CENACE los programas solicitados de importación y exportación de energía basados en los </w:t>
      </w:r>
      <w:r w:rsidRPr="005B2A17">
        <w:rPr>
          <w:rFonts w:ascii="Verdana" w:hAnsi="Verdana"/>
          <w:sz w:val="20"/>
        </w:rPr>
        <w:lastRenderedPageBreak/>
        <w:t>programas de importación y exportación que recibe de los Titulares de los Contratos de Interconexión Legados, dentro de los tiempos establecidos en el Manual de Mercado de Corto Plazo.</w:t>
      </w:r>
    </w:p>
    <w:p w:rsidR="005B2A17" w:rsidRPr="005B2A17" w:rsidRDefault="005B2A17" w:rsidP="005B2A17">
      <w:pPr>
        <w:jc w:val="both"/>
        <w:rPr>
          <w:rFonts w:ascii="Verdana" w:hAnsi="Verdana"/>
          <w:sz w:val="20"/>
        </w:rPr>
      </w:pPr>
      <w:r w:rsidRPr="005B2A17">
        <w:rPr>
          <w:rFonts w:ascii="Verdana" w:hAnsi="Verdana"/>
          <w:b/>
          <w:bCs/>
          <w:sz w:val="20"/>
        </w:rPr>
        <w:t>3.3.4</w:t>
      </w:r>
      <w:r w:rsidRPr="005B2A17">
        <w:rPr>
          <w:rFonts w:ascii="Verdana" w:hAnsi="Verdana"/>
          <w:sz w:val="20"/>
        </w:rPr>
        <w:t>    El Generador de Intermediación sólo podrá presentar programas solicitados de importación o exportación de energía eléctrica asociada a los Contratos de Interconexión Legados de Importación o Exportación.</w:t>
      </w:r>
    </w:p>
    <w:p w:rsidR="005B2A17" w:rsidRPr="005B2A17" w:rsidRDefault="005B2A17" w:rsidP="005B2A17">
      <w:pPr>
        <w:jc w:val="both"/>
        <w:rPr>
          <w:rFonts w:ascii="Verdana" w:hAnsi="Verdana"/>
          <w:sz w:val="20"/>
        </w:rPr>
      </w:pPr>
      <w:r w:rsidRPr="005B2A17">
        <w:rPr>
          <w:rFonts w:ascii="Verdana" w:hAnsi="Verdana"/>
          <w:b/>
          <w:bCs/>
          <w:sz w:val="20"/>
        </w:rPr>
        <w:t>3.3.5</w:t>
      </w:r>
      <w:r w:rsidRPr="005B2A17">
        <w:rPr>
          <w:rFonts w:ascii="Verdana" w:hAnsi="Verdana"/>
          <w:sz w:val="20"/>
        </w:rPr>
        <w:t>    El Generador de Intermediación deberá comunicar al Titular del Contrato de Interconexión Legado los programas asignados máximo 1 hora después de que el CENACE le informe de estos programas.</w:t>
      </w:r>
    </w:p>
    <w:p w:rsidR="005B2A17" w:rsidRPr="005B2A17" w:rsidRDefault="005B2A17" w:rsidP="005B2A17">
      <w:pPr>
        <w:jc w:val="both"/>
        <w:rPr>
          <w:rFonts w:ascii="Verdana" w:hAnsi="Verdana"/>
          <w:sz w:val="20"/>
        </w:rPr>
      </w:pPr>
      <w:r w:rsidRPr="005B2A17">
        <w:rPr>
          <w:rFonts w:ascii="Verdana" w:hAnsi="Verdana"/>
          <w:b/>
          <w:bCs/>
          <w:sz w:val="20"/>
        </w:rPr>
        <w:t>3.3.6</w:t>
      </w:r>
      <w:r w:rsidRPr="005B2A17">
        <w:rPr>
          <w:rFonts w:ascii="Verdana" w:hAnsi="Verdana"/>
          <w:sz w:val="20"/>
        </w:rPr>
        <w:t>    El Generador de Intermediación deberá verificar que se hayan creado las Etiquetas Electrónicas o equivalentes que corresponden a los programas de importación y exportación que sean en el Mercado Eléctrico Mayorista, en los tiempos que se establecen en este manual. Dichas etiquetas y equivalentes pueden crearse por el Generador de Intermediación, por los titulares de los Contratos de Interconexión Legados o por otra entidad de compraventa (</w:t>
      </w:r>
      <w:proofErr w:type="spellStart"/>
      <w:r w:rsidRPr="005B2A17">
        <w:rPr>
          <w:rFonts w:ascii="Verdana" w:hAnsi="Verdana"/>
          <w:sz w:val="20"/>
        </w:rPr>
        <w:t>Purchasing</w:t>
      </w:r>
      <w:proofErr w:type="spellEnd"/>
      <w:r w:rsidRPr="005B2A17">
        <w:rPr>
          <w:rFonts w:ascii="Verdana" w:hAnsi="Verdana"/>
          <w:sz w:val="20"/>
        </w:rPr>
        <w:t xml:space="preserve"> </w:t>
      </w:r>
      <w:proofErr w:type="spellStart"/>
      <w:r w:rsidRPr="005B2A17">
        <w:rPr>
          <w:rFonts w:ascii="Verdana" w:hAnsi="Verdana"/>
          <w:sz w:val="20"/>
        </w:rPr>
        <w:t>Selling</w:t>
      </w:r>
      <w:proofErr w:type="spellEnd"/>
      <w:r w:rsidRPr="005B2A17">
        <w:rPr>
          <w:rFonts w:ascii="Verdana" w:hAnsi="Verdana"/>
          <w:sz w:val="20"/>
        </w:rPr>
        <w:t xml:space="preserve"> </w:t>
      </w:r>
      <w:proofErr w:type="spellStart"/>
      <w:r w:rsidRPr="005B2A17">
        <w:rPr>
          <w:rFonts w:ascii="Verdana" w:hAnsi="Verdana"/>
          <w:sz w:val="20"/>
        </w:rPr>
        <w:t>Entity</w:t>
      </w:r>
      <w:proofErr w:type="spellEnd"/>
      <w:r w:rsidRPr="005B2A17">
        <w:rPr>
          <w:rFonts w:ascii="Verdana" w:hAnsi="Verdana"/>
          <w:sz w:val="20"/>
        </w:rPr>
        <w:t>) que participe en la transacción con el titular del Contrato de Interconexión Legado, en los términos de dichos contratos. En todo caso, el Generador de Intermediación será el responsable ante el Mercado Eléctrico Mayorista por las liquidaciones que resulten de la creación, modificación u omisión de dichas etiquitas o equivalentes.</w:t>
      </w:r>
    </w:p>
    <w:p w:rsidR="005B2A17" w:rsidRPr="005B2A17" w:rsidRDefault="005B2A17" w:rsidP="005B2A17">
      <w:pPr>
        <w:jc w:val="both"/>
        <w:rPr>
          <w:rFonts w:ascii="Verdana" w:hAnsi="Verdana"/>
          <w:sz w:val="20"/>
        </w:rPr>
      </w:pPr>
      <w:r w:rsidRPr="005B2A17">
        <w:rPr>
          <w:rFonts w:ascii="Verdana" w:hAnsi="Verdana"/>
          <w:b/>
          <w:bCs/>
          <w:sz w:val="20"/>
        </w:rPr>
        <w:t>3.4</w:t>
      </w:r>
      <w:r w:rsidRPr="005B2A17">
        <w:rPr>
          <w:rFonts w:ascii="Verdana" w:hAnsi="Verdana"/>
          <w:sz w:val="20"/>
        </w:rPr>
        <w:t>      </w:t>
      </w:r>
      <w:r w:rsidRPr="005B2A17">
        <w:rPr>
          <w:rFonts w:ascii="Verdana" w:hAnsi="Verdana"/>
          <w:b/>
          <w:bCs/>
          <w:sz w:val="20"/>
        </w:rPr>
        <w:t>Derechos y Obligaciones del CENACE</w:t>
      </w:r>
    </w:p>
    <w:p w:rsidR="005B2A17" w:rsidRPr="005B2A17" w:rsidRDefault="005B2A17" w:rsidP="005B2A17">
      <w:pPr>
        <w:jc w:val="both"/>
        <w:rPr>
          <w:rFonts w:ascii="Verdana" w:hAnsi="Verdana"/>
          <w:sz w:val="20"/>
        </w:rPr>
      </w:pPr>
      <w:r w:rsidRPr="005B2A17">
        <w:rPr>
          <w:rFonts w:ascii="Verdana" w:hAnsi="Verdana"/>
          <w:b/>
          <w:bCs/>
          <w:sz w:val="20"/>
        </w:rPr>
        <w:t>3.4.1</w:t>
      </w:r>
      <w:r w:rsidRPr="005B2A17">
        <w:rPr>
          <w:rFonts w:ascii="Verdana" w:hAnsi="Verdana"/>
          <w:sz w:val="20"/>
        </w:rPr>
        <w:t>    El CENACE será responsable de la coordinación operativa y comercial de la importación y exportación de energía eléctrica dentro del Mercado Eléctrico Mayorista.</w:t>
      </w:r>
    </w:p>
    <w:p w:rsidR="005B2A17" w:rsidRPr="005B2A17" w:rsidRDefault="005B2A17" w:rsidP="005B2A17">
      <w:pPr>
        <w:jc w:val="both"/>
        <w:rPr>
          <w:rFonts w:ascii="Verdana" w:hAnsi="Verdana"/>
          <w:sz w:val="20"/>
        </w:rPr>
      </w:pPr>
      <w:r w:rsidRPr="005B2A17">
        <w:rPr>
          <w:rFonts w:ascii="Verdana" w:hAnsi="Verdana"/>
          <w:b/>
          <w:bCs/>
          <w:sz w:val="20"/>
        </w:rPr>
        <w:t>3.4.2</w:t>
      </w:r>
      <w:r w:rsidRPr="005B2A17">
        <w:rPr>
          <w:rFonts w:ascii="Verdana" w:hAnsi="Verdana"/>
          <w:sz w:val="20"/>
        </w:rPr>
        <w:t>    En caso de un estado operativo de emergencia en el Sistema Eléctrico Nacional, el CENACE implementará las medidas que sean necesarias para garantizar la seguridad y el abastecimiento de energía eléctrica en el Sistema Eléctrico Nacional, incluyendo reducir o interrumpir las importaciones y exportaciones comerciales programadas en el Mercado Eléctrico Mayorista de acuerdo con el Manual de Confiabilidad y al Código de Red. El derecho del CENACE para reducir o interrumpir las importaciones y exportaciones no se restringirá a raíz de los contratos de compraventa o contratos para transacciones de energía de los Participantes del Mercado que establezcan obligaciones para la entrega de "capacidad firme", "potencia firme", "energía firme" u otros productos.</w:t>
      </w:r>
    </w:p>
    <w:p w:rsidR="005B2A17" w:rsidRPr="005B2A17" w:rsidRDefault="005B2A17" w:rsidP="005B2A17">
      <w:pPr>
        <w:jc w:val="both"/>
        <w:rPr>
          <w:rFonts w:ascii="Verdana" w:hAnsi="Verdana"/>
          <w:sz w:val="20"/>
        </w:rPr>
      </w:pPr>
      <w:r w:rsidRPr="005B2A17">
        <w:rPr>
          <w:rFonts w:ascii="Verdana" w:hAnsi="Verdana"/>
          <w:b/>
          <w:bCs/>
          <w:sz w:val="20"/>
        </w:rPr>
        <w:t>3.4.3</w:t>
      </w:r>
      <w:r w:rsidRPr="005B2A17">
        <w:rPr>
          <w:rFonts w:ascii="Verdana" w:hAnsi="Verdana"/>
          <w:sz w:val="20"/>
        </w:rPr>
        <w:t>    El CENACE autorizará los programas de importación o exportación que le remitan los Participantes del Mercado (en el caso de los enlaces en el norte del país, mediante la creación de la etiqueta o la aprobación de una etiqueta creada por otra entidad de compraventa que participa en la transacción) siempre y cuando correspondan a una transacción asignada en el Mercado Eléctrico Mayorista y cumplan con los criterios aplicables de Confiabilidad.</w:t>
      </w:r>
    </w:p>
    <w:p w:rsidR="005B2A17" w:rsidRPr="005B2A17" w:rsidRDefault="005B2A17" w:rsidP="005B2A17">
      <w:pPr>
        <w:jc w:val="both"/>
        <w:rPr>
          <w:rFonts w:ascii="Verdana" w:hAnsi="Verdana"/>
          <w:sz w:val="20"/>
        </w:rPr>
      </w:pPr>
      <w:r w:rsidRPr="005B2A17">
        <w:rPr>
          <w:rFonts w:ascii="Verdana" w:hAnsi="Verdana"/>
          <w:b/>
          <w:bCs/>
          <w:sz w:val="20"/>
        </w:rPr>
        <w:t>3.4.4</w:t>
      </w:r>
      <w:r w:rsidRPr="005B2A17">
        <w:rPr>
          <w:rFonts w:ascii="Verdana" w:hAnsi="Verdana"/>
          <w:sz w:val="20"/>
        </w:rPr>
        <w:t xml:space="preserve">    El CENACE reducirá o cancelará los programas de importación o exportación que se hayan implementado en el Mercado del Día en Adelanto cuando así lo requiera </w:t>
      </w:r>
      <w:r w:rsidRPr="005B2A17">
        <w:rPr>
          <w:rFonts w:ascii="Verdana" w:hAnsi="Verdana"/>
          <w:sz w:val="20"/>
        </w:rPr>
        <w:lastRenderedPageBreak/>
        <w:t>para cumplir con los criterios aplicables de Confiabilidad. El derecho del CENACE para reducir o interrumpir las importaciones y exportaciones no se restringirá a raíz de los contratos de compraventa o contratos para transacciones de energía de los Participantes del Mercado que establezcan obligaciones para la entrega de "capacidad firme", "potencia firme", "energía firme" u otros productos.</w:t>
      </w:r>
    </w:p>
    <w:p w:rsidR="005B2A17" w:rsidRPr="005B2A17" w:rsidRDefault="005B2A17" w:rsidP="005B2A17">
      <w:pPr>
        <w:jc w:val="both"/>
        <w:rPr>
          <w:rFonts w:ascii="Verdana" w:hAnsi="Verdana"/>
          <w:sz w:val="20"/>
        </w:rPr>
      </w:pPr>
      <w:r w:rsidRPr="005B2A17">
        <w:rPr>
          <w:rFonts w:ascii="Verdana" w:hAnsi="Verdana"/>
          <w:b/>
          <w:bCs/>
          <w:sz w:val="20"/>
        </w:rPr>
        <w:t>3.4.5</w:t>
      </w:r>
      <w:r w:rsidRPr="005B2A17">
        <w:rPr>
          <w:rFonts w:ascii="Verdana" w:hAnsi="Verdana"/>
          <w:sz w:val="20"/>
        </w:rPr>
        <w:t>    En caso de emergencia, el CENACE será responsable de implementar el despacho de Unidades de Central Eléctrica con capacidad de conexión tanto al Sistema Eléctrico Nacional como al Sistema Eléctrico Vecino de acuerdo con lo establecido en cada convenio establecido con el operador del Sistema Eléctrico Vecino.</w:t>
      </w:r>
    </w:p>
    <w:p w:rsidR="005B2A17" w:rsidRPr="005B2A17" w:rsidRDefault="005B2A17" w:rsidP="005B2A17">
      <w:pPr>
        <w:jc w:val="both"/>
        <w:rPr>
          <w:rFonts w:ascii="Verdana" w:hAnsi="Verdana"/>
          <w:sz w:val="20"/>
        </w:rPr>
      </w:pPr>
      <w:r w:rsidRPr="005B2A17">
        <w:rPr>
          <w:rFonts w:ascii="Verdana" w:hAnsi="Verdana"/>
          <w:b/>
          <w:bCs/>
          <w:sz w:val="20"/>
        </w:rPr>
        <w:t>3.4.6</w:t>
      </w:r>
      <w:r w:rsidRPr="005B2A17">
        <w:rPr>
          <w:rFonts w:ascii="Verdana" w:hAnsi="Verdana"/>
          <w:sz w:val="20"/>
        </w:rPr>
        <w:t>    El CENACE será el responsable de coordinar el intercambio de información operativa de las transacciones de importación y exportación que le correspondan como operador del Sistema Eléctrico Nacional.</w:t>
      </w:r>
    </w:p>
    <w:p w:rsidR="005B2A17" w:rsidRPr="005B2A17" w:rsidRDefault="005B2A17" w:rsidP="005B2A17">
      <w:pPr>
        <w:jc w:val="both"/>
        <w:rPr>
          <w:rFonts w:ascii="Verdana" w:hAnsi="Verdana"/>
          <w:sz w:val="20"/>
        </w:rPr>
      </w:pPr>
      <w:r w:rsidRPr="005B2A17">
        <w:rPr>
          <w:rFonts w:ascii="Verdana" w:hAnsi="Verdana"/>
          <w:b/>
          <w:bCs/>
          <w:sz w:val="20"/>
        </w:rPr>
        <w:t>3.4.7</w:t>
      </w:r>
      <w:r w:rsidRPr="005B2A17">
        <w:rPr>
          <w:rFonts w:ascii="Verdana" w:hAnsi="Verdana"/>
          <w:sz w:val="20"/>
        </w:rPr>
        <w:t>    El CENACE realizará la contabilidad de intercambios inadvertidos derivados de las transacciones en los enlaces comerciales y realizará la liquidación o compensación que corresponda con cada operador de los Sistemas Eléctricos Vecinos, en los términos de los convenios que el CENACE celebre para tal efecto. Los montos asociados con estos intercambios serán liquidados mediante el tipo de cobro que corresponde al desbalance, en términos del Manual de Liquidaciones.</w:t>
      </w:r>
    </w:p>
    <w:p w:rsidR="005B2A17" w:rsidRPr="005B2A17" w:rsidRDefault="005B2A17" w:rsidP="005B2A17">
      <w:pPr>
        <w:jc w:val="both"/>
        <w:rPr>
          <w:rFonts w:ascii="Verdana" w:hAnsi="Verdana"/>
          <w:sz w:val="20"/>
        </w:rPr>
      </w:pPr>
      <w:r w:rsidRPr="005B2A17">
        <w:rPr>
          <w:rFonts w:ascii="Verdana" w:hAnsi="Verdana"/>
          <w:sz w:val="20"/>
        </w:rPr>
        <w:t> </w:t>
      </w:r>
    </w:p>
    <w:p w:rsidR="005B2A17" w:rsidRPr="005B2A17" w:rsidRDefault="005B2A17" w:rsidP="005B2A17">
      <w:pPr>
        <w:jc w:val="both"/>
        <w:rPr>
          <w:rFonts w:ascii="Verdana" w:hAnsi="Verdana"/>
          <w:sz w:val="20"/>
        </w:rPr>
      </w:pPr>
      <w:r w:rsidRPr="005B2A17">
        <w:rPr>
          <w:rFonts w:ascii="Verdana" w:hAnsi="Verdana"/>
          <w:b/>
          <w:bCs/>
          <w:sz w:val="20"/>
        </w:rPr>
        <w:t>CAPÍTULO 4</w:t>
      </w:r>
    </w:p>
    <w:p w:rsidR="005B2A17" w:rsidRPr="005B2A17" w:rsidRDefault="005B2A17" w:rsidP="005B2A17">
      <w:pPr>
        <w:jc w:val="both"/>
        <w:rPr>
          <w:rFonts w:ascii="Verdana" w:hAnsi="Verdana"/>
          <w:sz w:val="20"/>
        </w:rPr>
      </w:pPr>
      <w:r w:rsidRPr="005B2A17">
        <w:rPr>
          <w:rFonts w:ascii="Verdana" w:hAnsi="Verdana"/>
          <w:b/>
          <w:bCs/>
          <w:sz w:val="20"/>
        </w:rPr>
        <w:t>Capacidad Absoluta de Transferencia Disponible en los Enlaces de Interconexión</w:t>
      </w:r>
    </w:p>
    <w:p w:rsidR="005B2A17" w:rsidRPr="005B2A17" w:rsidRDefault="005B2A17" w:rsidP="005B2A17">
      <w:pPr>
        <w:jc w:val="both"/>
        <w:rPr>
          <w:rFonts w:ascii="Verdana" w:hAnsi="Verdana"/>
          <w:sz w:val="20"/>
        </w:rPr>
      </w:pPr>
      <w:r w:rsidRPr="005B2A17">
        <w:rPr>
          <w:rFonts w:ascii="Verdana" w:hAnsi="Verdana"/>
          <w:b/>
          <w:bCs/>
          <w:sz w:val="20"/>
        </w:rPr>
        <w:t>4.1.1</w:t>
      </w:r>
      <w:r w:rsidRPr="005B2A17">
        <w:rPr>
          <w:rFonts w:ascii="Verdana" w:hAnsi="Verdana"/>
          <w:sz w:val="20"/>
        </w:rPr>
        <w:t>   El CENACE no emitirá derechos físicos de transmisión en firme a largo plazo en los Enlaces de Interconexión.</w:t>
      </w:r>
    </w:p>
    <w:p w:rsidR="005B2A17" w:rsidRPr="005B2A17" w:rsidRDefault="005B2A17" w:rsidP="005B2A17">
      <w:pPr>
        <w:jc w:val="both"/>
        <w:rPr>
          <w:rFonts w:ascii="Verdana" w:hAnsi="Verdana"/>
          <w:sz w:val="20"/>
        </w:rPr>
      </w:pPr>
      <w:r w:rsidRPr="005B2A17">
        <w:rPr>
          <w:rFonts w:ascii="Verdana" w:hAnsi="Verdana"/>
          <w:b/>
          <w:bCs/>
          <w:sz w:val="20"/>
        </w:rPr>
        <w:t>4.1.2</w:t>
      </w:r>
      <w:r w:rsidRPr="005B2A17">
        <w:rPr>
          <w:rFonts w:ascii="Verdana" w:hAnsi="Verdana"/>
          <w:sz w:val="20"/>
        </w:rPr>
        <w:t>   El CENACE podrá asignar Derechos Financieros de Transmisión desde el Punto de Entrega para importaciones y hasta los Centros de Carga u otros nodos, en términos de los Manuales correspondientes a los DFT Legados, las Subastas de DFT y los DFT por expansión de la red.</w:t>
      </w:r>
    </w:p>
    <w:p w:rsidR="005B2A17" w:rsidRPr="005B2A17" w:rsidRDefault="005B2A17" w:rsidP="005B2A17">
      <w:pPr>
        <w:jc w:val="both"/>
        <w:rPr>
          <w:rFonts w:ascii="Verdana" w:hAnsi="Verdana"/>
          <w:sz w:val="20"/>
        </w:rPr>
      </w:pPr>
      <w:r w:rsidRPr="005B2A17">
        <w:rPr>
          <w:rFonts w:ascii="Verdana" w:hAnsi="Verdana"/>
          <w:b/>
          <w:bCs/>
          <w:sz w:val="20"/>
        </w:rPr>
        <w:t>4.1.3</w:t>
      </w:r>
      <w:r w:rsidRPr="005B2A17">
        <w:rPr>
          <w:rFonts w:ascii="Verdana" w:hAnsi="Verdana"/>
          <w:sz w:val="20"/>
        </w:rPr>
        <w:t>   El CENACE podrá asignar Derechos Financieros de Transmisión desde las Unidades de Central Eléctrica u otros nodos y hasta el Punto de Recepción para exportaciones, en términos de los Manuales correspondientes a los DFT Legados, las Subastas de DFT y los DFT por expansión de la red.</w:t>
      </w:r>
    </w:p>
    <w:p w:rsidR="005B2A17" w:rsidRPr="005B2A17" w:rsidRDefault="005B2A17" w:rsidP="005B2A17">
      <w:pPr>
        <w:jc w:val="both"/>
        <w:rPr>
          <w:rFonts w:ascii="Verdana" w:hAnsi="Verdana"/>
          <w:sz w:val="20"/>
        </w:rPr>
      </w:pPr>
      <w:r w:rsidRPr="005B2A17">
        <w:rPr>
          <w:rFonts w:ascii="Verdana" w:hAnsi="Verdana"/>
          <w:b/>
          <w:bCs/>
          <w:sz w:val="20"/>
        </w:rPr>
        <w:t>4.1.4</w:t>
      </w:r>
      <w:r w:rsidRPr="005B2A17">
        <w:rPr>
          <w:rFonts w:ascii="Verdana" w:hAnsi="Verdana"/>
          <w:sz w:val="20"/>
        </w:rPr>
        <w:t>   El CENACE incluirá en las Subastas de Derechos Financieros de Transmisión las capacidades disponibles esperadas en los Enlaces de Interconexión, para que los Participantes del Mercado puedan comprar Derechos Financieros de Transmisión que incluyen el Punto de Entrega o Punto de Recepción correspondiente.</w:t>
      </w:r>
    </w:p>
    <w:p w:rsidR="005B2A17" w:rsidRPr="005B2A17" w:rsidRDefault="005B2A17" w:rsidP="005B2A17">
      <w:pPr>
        <w:jc w:val="both"/>
        <w:rPr>
          <w:rFonts w:ascii="Verdana" w:hAnsi="Verdana"/>
          <w:sz w:val="20"/>
        </w:rPr>
      </w:pPr>
      <w:r w:rsidRPr="005B2A17">
        <w:rPr>
          <w:rFonts w:ascii="Verdana" w:hAnsi="Verdana"/>
          <w:b/>
          <w:bCs/>
          <w:sz w:val="20"/>
        </w:rPr>
        <w:t>4.1.5</w:t>
      </w:r>
      <w:r w:rsidRPr="005B2A17">
        <w:rPr>
          <w:rFonts w:ascii="Verdana" w:hAnsi="Verdana"/>
          <w:sz w:val="20"/>
        </w:rPr>
        <w:t xml:space="preserve">   El CENACE determinará la Capacidad de Transferencia Disponible de importación y Capacidad de Transferencia Disponible de exportación de cada Enlace de </w:t>
      </w:r>
      <w:r w:rsidRPr="005B2A17">
        <w:rPr>
          <w:rFonts w:ascii="Verdana" w:hAnsi="Verdana"/>
          <w:sz w:val="20"/>
        </w:rPr>
        <w:lastRenderedPageBreak/>
        <w:t>Interconexión conforme a las condiciones particulares de la interconexión con cada Sistema Eléctrico Vecino.</w:t>
      </w:r>
    </w:p>
    <w:p w:rsidR="005B2A17" w:rsidRPr="005B2A17" w:rsidRDefault="005B2A17" w:rsidP="005B2A17">
      <w:pPr>
        <w:jc w:val="both"/>
        <w:rPr>
          <w:rFonts w:ascii="Verdana" w:hAnsi="Verdana"/>
          <w:sz w:val="20"/>
        </w:rPr>
      </w:pPr>
      <w:r w:rsidRPr="005B2A17">
        <w:rPr>
          <w:rFonts w:ascii="Verdana" w:hAnsi="Verdana"/>
          <w:b/>
          <w:bCs/>
          <w:sz w:val="20"/>
        </w:rPr>
        <w:t>4.1.6</w:t>
      </w:r>
      <w:r w:rsidRPr="005B2A17">
        <w:rPr>
          <w:rFonts w:ascii="Verdana" w:hAnsi="Verdana"/>
          <w:sz w:val="20"/>
        </w:rPr>
        <w:t>   La Capacidad de Transferencia Disponible tiene el propósito de asegurar que las programaciones asignadas en el Mercado del Día en Adelanto sean físicamente factibles tanto para la importación como para la exportación. Lo anterior, sin perjuicio de que los programas de importación y exportación se ajustarán por cambios que ocurran en dicha capacidad.</w:t>
      </w:r>
    </w:p>
    <w:p w:rsidR="005B2A17" w:rsidRPr="005B2A17" w:rsidRDefault="005B2A17" w:rsidP="005B2A17">
      <w:pPr>
        <w:jc w:val="both"/>
        <w:rPr>
          <w:rFonts w:ascii="Verdana" w:hAnsi="Verdana"/>
          <w:sz w:val="20"/>
        </w:rPr>
      </w:pPr>
      <w:r w:rsidRPr="005B2A17">
        <w:rPr>
          <w:rFonts w:ascii="Verdana" w:hAnsi="Verdana"/>
          <w:b/>
          <w:bCs/>
          <w:sz w:val="20"/>
        </w:rPr>
        <w:t>4.1.7</w:t>
      </w:r>
      <w:r w:rsidRPr="005B2A17">
        <w:rPr>
          <w:rFonts w:ascii="Verdana" w:hAnsi="Verdana"/>
          <w:sz w:val="20"/>
        </w:rPr>
        <w:t>   El CENACE publicará diariamente en el Sistema de Información del Mercado la Capacidad Absoluta de Transferencia Disponible para cada uno de los Enlaces de Interconexión internacionales a más tardar a las 9:00 horas del día previo al Día de Operación.</w:t>
      </w:r>
    </w:p>
    <w:p w:rsidR="005B2A17" w:rsidRPr="005B2A17" w:rsidRDefault="005B2A17" w:rsidP="005B2A17">
      <w:pPr>
        <w:jc w:val="both"/>
        <w:rPr>
          <w:rFonts w:ascii="Verdana" w:hAnsi="Verdana"/>
          <w:sz w:val="20"/>
        </w:rPr>
      </w:pPr>
      <w:r w:rsidRPr="005B2A17">
        <w:rPr>
          <w:rFonts w:ascii="Verdana" w:hAnsi="Verdana"/>
          <w:b/>
          <w:bCs/>
          <w:sz w:val="20"/>
        </w:rPr>
        <w:t>4.1.8</w:t>
      </w:r>
      <w:r w:rsidRPr="005B2A17">
        <w:rPr>
          <w:rFonts w:ascii="Verdana" w:hAnsi="Verdana"/>
          <w:sz w:val="20"/>
        </w:rPr>
        <w:t>   El CENACE publicará diariamente en el horizonte extendido de 7 días, la Capacidad de Transferencia Disponible por cada Enlace de Interconexión.</w:t>
      </w:r>
    </w:p>
    <w:p w:rsidR="005B2A17" w:rsidRPr="005B2A17" w:rsidRDefault="005B2A17" w:rsidP="005B2A17">
      <w:pPr>
        <w:jc w:val="both"/>
        <w:rPr>
          <w:rFonts w:ascii="Verdana" w:hAnsi="Verdana"/>
          <w:sz w:val="20"/>
        </w:rPr>
      </w:pPr>
      <w:r w:rsidRPr="005B2A17">
        <w:rPr>
          <w:rFonts w:ascii="Verdana" w:hAnsi="Verdana"/>
          <w:b/>
          <w:bCs/>
          <w:sz w:val="20"/>
        </w:rPr>
        <w:t>4.1.9</w:t>
      </w:r>
      <w:r w:rsidRPr="005B2A17">
        <w:rPr>
          <w:rFonts w:ascii="Verdana" w:hAnsi="Verdana"/>
          <w:sz w:val="20"/>
        </w:rPr>
        <w:t>   El CENACE se coordinará con el Transportista y con los Sistemas Eléctricos Vecinos para programar las salidas de las líneas de interconexión de forma programada.</w:t>
      </w:r>
    </w:p>
    <w:p w:rsidR="005B2A17" w:rsidRPr="005B2A17" w:rsidRDefault="005B2A17" w:rsidP="005B2A17">
      <w:pPr>
        <w:jc w:val="both"/>
        <w:rPr>
          <w:rFonts w:ascii="Verdana" w:hAnsi="Verdana"/>
          <w:sz w:val="20"/>
        </w:rPr>
      </w:pPr>
      <w:r w:rsidRPr="005B2A17">
        <w:rPr>
          <w:rFonts w:ascii="Verdana" w:hAnsi="Verdana"/>
          <w:b/>
          <w:bCs/>
          <w:sz w:val="20"/>
        </w:rPr>
        <w:t>4.1.10</w:t>
      </w:r>
      <w:r w:rsidRPr="005B2A17">
        <w:rPr>
          <w:rFonts w:ascii="Verdana" w:hAnsi="Verdana"/>
          <w:sz w:val="20"/>
        </w:rPr>
        <w:t>  La Capacidad Absoluta de Transferencia Disponible puede variar en tiempo real si las condiciones de los sistemas eléctricos cambian, en cuyo caso se podrán reducir o interrumpir las importaciones y exportaciones programadas.</w:t>
      </w:r>
    </w:p>
    <w:p w:rsidR="005B2A17" w:rsidRPr="005B2A17" w:rsidRDefault="005B2A17" w:rsidP="005B2A17">
      <w:pPr>
        <w:jc w:val="both"/>
        <w:rPr>
          <w:rFonts w:ascii="Verdana" w:hAnsi="Verdana"/>
          <w:sz w:val="20"/>
        </w:rPr>
      </w:pPr>
      <w:r w:rsidRPr="005B2A17">
        <w:rPr>
          <w:rFonts w:ascii="Verdana" w:hAnsi="Verdana"/>
          <w:b/>
          <w:bCs/>
          <w:sz w:val="20"/>
        </w:rPr>
        <w:t>4.1.11</w:t>
      </w:r>
      <w:r w:rsidRPr="005B2A17">
        <w:rPr>
          <w:rFonts w:ascii="Verdana" w:hAnsi="Verdana"/>
          <w:sz w:val="20"/>
        </w:rPr>
        <w:t>  Para los Enlaces de Interconexión con el Sistema Eléctrico Vecino de WECC, la Capacidad de Transferencia Disponible se determina considerando como una sola trayectoria de transmisión a ambos enlaces. No obstante lo anterior, las transacciones de importación se ofrecerán y se programarán en cada punto de interconexión por separado.</w:t>
      </w:r>
    </w:p>
    <w:p w:rsidR="005B2A17" w:rsidRPr="005B2A17" w:rsidRDefault="005B2A17" w:rsidP="005B2A17">
      <w:pPr>
        <w:jc w:val="both"/>
        <w:rPr>
          <w:rFonts w:ascii="Verdana" w:hAnsi="Verdana"/>
          <w:sz w:val="20"/>
        </w:rPr>
      </w:pPr>
      <w:r w:rsidRPr="005B2A17">
        <w:rPr>
          <w:rFonts w:ascii="Verdana" w:hAnsi="Verdana"/>
          <w:b/>
          <w:bCs/>
          <w:sz w:val="20"/>
        </w:rPr>
        <w:t>4.1.12</w:t>
      </w:r>
      <w:r w:rsidRPr="005B2A17">
        <w:rPr>
          <w:rFonts w:ascii="Verdana" w:hAnsi="Verdana"/>
          <w:sz w:val="20"/>
        </w:rPr>
        <w:t>  Para el Enlace de Interconexión Cd. Industrial-Laredo con el sistema eléctrico de ERCOT, la Capacidad de Transferencia Disponible se determina considerando como una sola trayectoria de transmisión a las 2 líneas que lo conforman. La programación de Ofertas y la Liquidación de Energía se realizará considerando un solo Enlace y un Punto de Entrega/Punto de Recepción.</w:t>
      </w:r>
    </w:p>
    <w:p w:rsidR="005B2A17" w:rsidRPr="005B2A17" w:rsidRDefault="005B2A17" w:rsidP="005B2A17">
      <w:pPr>
        <w:jc w:val="both"/>
        <w:rPr>
          <w:rFonts w:ascii="Verdana" w:hAnsi="Verdana"/>
          <w:sz w:val="20"/>
        </w:rPr>
      </w:pPr>
      <w:r w:rsidRPr="005B2A17">
        <w:rPr>
          <w:rFonts w:ascii="Verdana" w:hAnsi="Verdana"/>
          <w:sz w:val="20"/>
        </w:rPr>
        <w:t> </w:t>
      </w:r>
    </w:p>
    <w:p w:rsidR="005B2A17" w:rsidRPr="005B2A17" w:rsidRDefault="005B2A17" w:rsidP="005B2A17">
      <w:pPr>
        <w:jc w:val="both"/>
        <w:rPr>
          <w:rFonts w:ascii="Verdana" w:hAnsi="Verdana"/>
          <w:sz w:val="20"/>
        </w:rPr>
      </w:pPr>
      <w:r w:rsidRPr="005B2A17">
        <w:rPr>
          <w:rFonts w:ascii="Verdana" w:hAnsi="Verdana"/>
          <w:b/>
          <w:bCs/>
          <w:sz w:val="20"/>
        </w:rPr>
        <w:t>CAPÍTULO 5</w:t>
      </w:r>
    </w:p>
    <w:p w:rsidR="005B2A17" w:rsidRPr="005B2A17" w:rsidRDefault="005B2A17" w:rsidP="005B2A17">
      <w:pPr>
        <w:jc w:val="both"/>
        <w:rPr>
          <w:rFonts w:ascii="Verdana" w:hAnsi="Verdana"/>
          <w:sz w:val="20"/>
        </w:rPr>
      </w:pPr>
      <w:r w:rsidRPr="005B2A17">
        <w:rPr>
          <w:rFonts w:ascii="Verdana" w:hAnsi="Verdana"/>
          <w:b/>
          <w:bCs/>
          <w:sz w:val="20"/>
        </w:rPr>
        <w:t>Puntos de Entrega y Puntos de Recepción para la importación y exportación de energía entre</w:t>
      </w:r>
      <w:r w:rsidRPr="005B2A17">
        <w:rPr>
          <w:rFonts w:ascii="Verdana" w:hAnsi="Verdana"/>
          <w:sz w:val="20"/>
        </w:rPr>
        <w:br/>
      </w:r>
      <w:r w:rsidRPr="005B2A17">
        <w:rPr>
          <w:rFonts w:ascii="Verdana" w:hAnsi="Verdana"/>
          <w:b/>
          <w:bCs/>
          <w:sz w:val="20"/>
        </w:rPr>
        <w:t>sistemas eléctricos</w:t>
      </w:r>
    </w:p>
    <w:p w:rsidR="005B2A17" w:rsidRPr="005B2A17" w:rsidRDefault="005B2A17" w:rsidP="005B2A17">
      <w:pPr>
        <w:jc w:val="both"/>
        <w:rPr>
          <w:rFonts w:ascii="Verdana" w:hAnsi="Verdana"/>
          <w:sz w:val="20"/>
        </w:rPr>
      </w:pPr>
      <w:r w:rsidRPr="005B2A17">
        <w:rPr>
          <w:rFonts w:ascii="Verdana" w:hAnsi="Verdana"/>
          <w:b/>
          <w:bCs/>
          <w:sz w:val="20"/>
        </w:rPr>
        <w:t>5.1.1</w:t>
      </w:r>
      <w:r w:rsidRPr="005B2A17">
        <w:rPr>
          <w:rFonts w:ascii="Verdana" w:hAnsi="Verdana"/>
          <w:sz w:val="20"/>
        </w:rPr>
        <w:t>    Los Puntos de Entrega y Puntos de Recepción para transacciones entre sistemas eléctricos son </w:t>
      </w:r>
      <w:proofErr w:type="spellStart"/>
      <w:r w:rsidRPr="005B2A17">
        <w:rPr>
          <w:rFonts w:ascii="Verdana" w:hAnsi="Verdana"/>
          <w:sz w:val="20"/>
        </w:rPr>
        <w:t>NodosP</w:t>
      </w:r>
      <w:proofErr w:type="spellEnd"/>
      <w:r w:rsidRPr="005B2A17">
        <w:rPr>
          <w:rFonts w:ascii="Verdana" w:hAnsi="Verdana"/>
          <w:sz w:val="20"/>
        </w:rPr>
        <w:t xml:space="preserve"> y serán modelados para las liquidaciones financieras.</w:t>
      </w:r>
    </w:p>
    <w:p w:rsidR="005B2A17" w:rsidRPr="005B2A17" w:rsidRDefault="005B2A17" w:rsidP="005B2A17">
      <w:pPr>
        <w:jc w:val="both"/>
        <w:rPr>
          <w:rFonts w:ascii="Verdana" w:hAnsi="Verdana"/>
          <w:sz w:val="20"/>
        </w:rPr>
      </w:pPr>
      <w:r w:rsidRPr="005B2A17">
        <w:rPr>
          <w:rFonts w:ascii="Verdana" w:hAnsi="Verdana"/>
          <w:b/>
          <w:bCs/>
          <w:sz w:val="20"/>
        </w:rPr>
        <w:t>5.1.2</w:t>
      </w:r>
      <w:r w:rsidRPr="005B2A17">
        <w:rPr>
          <w:rFonts w:ascii="Verdana" w:hAnsi="Verdana"/>
          <w:sz w:val="20"/>
        </w:rPr>
        <w:t>    El Punto de Recepción se utilizará para las exportaciones y el Punto de Entrega se utilizará para las importaciones.</w:t>
      </w:r>
    </w:p>
    <w:p w:rsidR="005B2A17" w:rsidRPr="005B2A17" w:rsidRDefault="005B2A17" w:rsidP="005B2A17">
      <w:pPr>
        <w:jc w:val="both"/>
        <w:rPr>
          <w:rFonts w:ascii="Verdana" w:hAnsi="Verdana"/>
          <w:sz w:val="20"/>
        </w:rPr>
      </w:pPr>
      <w:r w:rsidRPr="005B2A17">
        <w:rPr>
          <w:rFonts w:ascii="Verdana" w:hAnsi="Verdana"/>
          <w:b/>
          <w:bCs/>
          <w:sz w:val="20"/>
        </w:rPr>
        <w:lastRenderedPageBreak/>
        <w:t>5.1.3</w:t>
      </w:r>
      <w:r w:rsidRPr="005B2A17">
        <w:rPr>
          <w:rFonts w:ascii="Verdana" w:hAnsi="Verdana"/>
          <w:sz w:val="20"/>
        </w:rPr>
        <w:t>    Los Puntos de Entrega y Puntos de Recepción autorizados para las importaciones y exportaciones que serán programadas en el Mercado Eléctrico Mayorista en cada uno de los Enlaces de Interconexión con los Sistemas Eléctricos Vecinos son los siguientes:</w:t>
      </w:r>
    </w:p>
    <w:tbl>
      <w:tblPr>
        <w:tblW w:w="0" w:type="auto"/>
        <w:tblInd w:w="900" w:type="dxa"/>
        <w:shd w:val="clear" w:color="auto" w:fill="FFFFFF"/>
        <w:tblCellMar>
          <w:top w:w="15" w:type="dxa"/>
          <w:left w:w="15" w:type="dxa"/>
          <w:bottom w:w="15" w:type="dxa"/>
          <w:right w:w="15" w:type="dxa"/>
        </w:tblCellMar>
        <w:tblLook w:val="04A0" w:firstRow="1" w:lastRow="0" w:firstColumn="1" w:lastColumn="0" w:noHBand="0" w:noVBand="1"/>
      </w:tblPr>
      <w:tblGrid>
        <w:gridCol w:w="1283"/>
        <w:gridCol w:w="2728"/>
        <w:gridCol w:w="1677"/>
        <w:gridCol w:w="2232"/>
      </w:tblGrid>
      <w:tr w:rsidR="005B2A17" w:rsidRPr="005B2A17" w:rsidTr="005B2A17">
        <w:trPr>
          <w:trHeight w:val="635"/>
        </w:trPr>
        <w:tc>
          <w:tcPr>
            <w:tcW w:w="1283"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b/>
                <w:bCs/>
                <w:sz w:val="20"/>
              </w:rPr>
              <w:t>Región</w:t>
            </w:r>
          </w:p>
        </w:tc>
        <w:tc>
          <w:tcPr>
            <w:tcW w:w="2728"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b/>
                <w:bCs/>
                <w:sz w:val="20"/>
              </w:rPr>
              <w:t>Enlace de Interconexión</w:t>
            </w:r>
          </w:p>
        </w:tc>
        <w:tc>
          <w:tcPr>
            <w:tcW w:w="1677"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b/>
                <w:bCs/>
                <w:sz w:val="20"/>
              </w:rPr>
              <w:t>Sistema Eléctrico</w:t>
            </w:r>
            <w:r w:rsidRPr="005B2A17">
              <w:rPr>
                <w:rFonts w:ascii="Verdana" w:hAnsi="Verdana"/>
                <w:sz w:val="20"/>
              </w:rPr>
              <w:br/>
            </w:r>
            <w:r w:rsidRPr="005B2A17">
              <w:rPr>
                <w:rFonts w:ascii="Verdana" w:hAnsi="Verdana"/>
                <w:b/>
                <w:bCs/>
                <w:sz w:val="20"/>
              </w:rPr>
              <w:t>Vecino-País</w:t>
            </w:r>
          </w:p>
        </w:tc>
        <w:tc>
          <w:tcPr>
            <w:tcW w:w="223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b/>
                <w:bCs/>
                <w:sz w:val="20"/>
              </w:rPr>
              <w:t>Punto de Entrega/</w:t>
            </w:r>
            <w:r w:rsidRPr="005B2A17">
              <w:rPr>
                <w:rFonts w:ascii="Verdana" w:hAnsi="Verdana"/>
                <w:sz w:val="20"/>
              </w:rPr>
              <w:br/>
            </w:r>
            <w:r w:rsidRPr="005B2A17">
              <w:rPr>
                <w:rFonts w:ascii="Verdana" w:hAnsi="Verdana"/>
                <w:b/>
                <w:bCs/>
                <w:sz w:val="20"/>
              </w:rPr>
              <w:t>Recepción para</w:t>
            </w:r>
            <w:r w:rsidRPr="005B2A17">
              <w:rPr>
                <w:rFonts w:ascii="Verdana" w:hAnsi="Verdana"/>
                <w:sz w:val="20"/>
              </w:rPr>
              <w:br/>
            </w:r>
            <w:r w:rsidRPr="005B2A17">
              <w:rPr>
                <w:rFonts w:ascii="Verdana" w:hAnsi="Verdana"/>
                <w:b/>
                <w:bCs/>
                <w:sz w:val="20"/>
              </w:rPr>
              <w:t>liquidaciones</w:t>
            </w:r>
          </w:p>
        </w:tc>
      </w:tr>
      <w:tr w:rsidR="005B2A17" w:rsidRPr="005B2A17" w:rsidTr="005B2A17">
        <w:trPr>
          <w:trHeight w:val="220"/>
        </w:trPr>
        <w:tc>
          <w:tcPr>
            <w:tcW w:w="1283"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Noreste</w:t>
            </w:r>
          </w:p>
        </w:tc>
        <w:tc>
          <w:tcPr>
            <w:tcW w:w="27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Cd. Industrial-Laredo</w:t>
            </w:r>
          </w:p>
        </w:tc>
        <w:tc>
          <w:tcPr>
            <w:tcW w:w="16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ERCOTEUA</w:t>
            </w:r>
          </w:p>
        </w:tc>
        <w:tc>
          <w:tcPr>
            <w:tcW w:w="22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Cd. Industrial</w:t>
            </w:r>
          </w:p>
        </w:tc>
      </w:tr>
      <w:tr w:rsidR="005B2A17" w:rsidRPr="005B2A17" w:rsidTr="005B2A17">
        <w:trPr>
          <w:trHeight w:val="220"/>
        </w:trPr>
        <w:tc>
          <w:tcPr>
            <w:tcW w:w="0" w:type="auto"/>
            <w:vMerge/>
            <w:tcBorders>
              <w:top w:val="single" w:sz="6" w:space="0" w:color="000000"/>
              <w:left w:val="single" w:sz="6" w:space="0" w:color="000000"/>
              <w:right w:val="single" w:sz="6" w:space="0" w:color="000000"/>
            </w:tcBorders>
            <w:shd w:val="clear" w:color="auto" w:fill="FFFFFF"/>
            <w:vAlign w:val="center"/>
            <w:hideMark/>
          </w:tcPr>
          <w:p w:rsidR="005B2A17" w:rsidRPr="005B2A17" w:rsidRDefault="005B2A17" w:rsidP="005B2A17">
            <w:pPr>
              <w:jc w:val="both"/>
              <w:rPr>
                <w:rFonts w:ascii="Verdana" w:hAnsi="Verdana"/>
                <w:sz w:val="20"/>
              </w:rPr>
            </w:pPr>
          </w:p>
        </w:tc>
        <w:tc>
          <w:tcPr>
            <w:tcW w:w="27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proofErr w:type="spellStart"/>
            <w:r w:rsidRPr="005B2A17">
              <w:rPr>
                <w:rFonts w:ascii="Verdana" w:hAnsi="Verdana"/>
                <w:sz w:val="20"/>
              </w:rPr>
              <w:t>CumbresRail</w:t>
            </w:r>
            <w:proofErr w:type="spellEnd"/>
            <w:r w:rsidRPr="005B2A17">
              <w:rPr>
                <w:rFonts w:ascii="Verdana" w:hAnsi="Verdana"/>
                <w:sz w:val="20"/>
              </w:rPr>
              <w:t xml:space="preserve"> Road</w:t>
            </w:r>
          </w:p>
        </w:tc>
        <w:tc>
          <w:tcPr>
            <w:tcW w:w="16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ERCOTEUA</w:t>
            </w:r>
          </w:p>
        </w:tc>
        <w:tc>
          <w:tcPr>
            <w:tcW w:w="22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Cumbres Frontera</w:t>
            </w:r>
          </w:p>
        </w:tc>
      </w:tr>
      <w:tr w:rsidR="005B2A17" w:rsidRPr="005B2A17" w:rsidTr="005B2A17">
        <w:trPr>
          <w:trHeight w:val="220"/>
        </w:trPr>
        <w:tc>
          <w:tcPr>
            <w:tcW w:w="0" w:type="auto"/>
            <w:vMerge/>
            <w:tcBorders>
              <w:top w:val="single" w:sz="6" w:space="0" w:color="000000"/>
              <w:left w:val="single" w:sz="6" w:space="0" w:color="000000"/>
              <w:right w:val="single" w:sz="6" w:space="0" w:color="000000"/>
            </w:tcBorders>
            <w:shd w:val="clear" w:color="auto" w:fill="FFFFFF"/>
            <w:vAlign w:val="center"/>
            <w:hideMark/>
          </w:tcPr>
          <w:p w:rsidR="005B2A17" w:rsidRPr="005B2A17" w:rsidRDefault="005B2A17" w:rsidP="005B2A17">
            <w:pPr>
              <w:jc w:val="both"/>
              <w:rPr>
                <w:rFonts w:ascii="Verdana" w:hAnsi="Verdana"/>
                <w:sz w:val="20"/>
              </w:rPr>
            </w:pPr>
          </w:p>
        </w:tc>
        <w:tc>
          <w:tcPr>
            <w:tcW w:w="27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 xml:space="preserve">Piedras </w:t>
            </w:r>
            <w:proofErr w:type="spellStart"/>
            <w:r w:rsidRPr="005B2A17">
              <w:rPr>
                <w:rFonts w:ascii="Verdana" w:hAnsi="Verdana"/>
                <w:sz w:val="20"/>
              </w:rPr>
              <w:t>NegrasEagle</w:t>
            </w:r>
            <w:proofErr w:type="spellEnd"/>
            <w:r w:rsidRPr="005B2A17">
              <w:rPr>
                <w:rFonts w:ascii="Verdana" w:hAnsi="Verdana"/>
                <w:sz w:val="20"/>
              </w:rPr>
              <w:t xml:space="preserve"> Pass</w:t>
            </w:r>
          </w:p>
        </w:tc>
        <w:tc>
          <w:tcPr>
            <w:tcW w:w="16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ERCOTEUA</w:t>
            </w:r>
          </w:p>
        </w:tc>
        <w:tc>
          <w:tcPr>
            <w:tcW w:w="22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Piedras Negras</w:t>
            </w:r>
          </w:p>
        </w:tc>
      </w:tr>
      <w:tr w:rsidR="005B2A17" w:rsidRPr="005B2A17" w:rsidTr="005B2A17">
        <w:trPr>
          <w:trHeight w:val="220"/>
        </w:trPr>
        <w:tc>
          <w:tcPr>
            <w:tcW w:w="1283"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Baja California</w:t>
            </w:r>
          </w:p>
        </w:tc>
        <w:tc>
          <w:tcPr>
            <w:tcW w:w="27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 xml:space="preserve">La </w:t>
            </w:r>
            <w:proofErr w:type="spellStart"/>
            <w:r w:rsidRPr="005B2A17">
              <w:rPr>
                <w:rFonts w:ascii="Verdana" w:hAnsi="Verdana"/>
                <w:sz w:val="20"/>
              </w:rPr>
              <w:t>RositaImperial</w:t>
            </w:r>
            <w:proofErr w:type="spellEnd"/>
            <w:r w:rsidRPr="005B2A17">
              <w:rPr>
                <w:rFonts w:ascii="Verdana" w:hAnsi="Verdana"/>
                <w:sz w:val="20"/>
              </w:rPr>
              <w:t xml:space="preserve"> Valley</w:t>
            </w:r>
          </w:p>
        </w:tc>
        <w:tc>
          <w:tcPr>
            <w:tcW w:w="16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WECCEUA</w:t>
            </w:r>
          </w:p>
        </w:tc>
        <w:tc>
          <w:tcPr>
            <w:tcW w:w="22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Rosita</w:t>
            </w:r>
          </w:p>
        </w:tc>
      </w:tr>
      <w:tr w:rsidR="005B2A17" w:rsidRPr="005B2A17" w:rsidTr="005B2A17">
        <w:trPr>
          <w:trHeight w:val="220"/>
        </w:trPr>
        <w:tc>
          <w:tcPr>
            <w:tcW w:w="0" w:type="auto"/>
            <w:vMerge/>
            <w:tcBorders>
              <w:top w:val="single" w:sz="6" w:space="0" w:color="000000"/>
              <w:left w:val="single" w:sz="6" w:space="0" w:color="000000"/>
              <w:right w:val="single" w:sz="6" w:space="0" w:color="000000"/>
            </w:tcBorders>
            <w:shd w:val="clear" w:color="auto" w:fill="FFFFFF"/>
            <w:vAlign w:val="center"/>
            <w:hideMark/>
          </w:tcPr>
          <w:p w:rsidR="005B2A17" w:rsidRPr="005B2A17" w:rsidRDefault="005B2A17" w:rsidP="005B2A17">
            <w:pPr>
              <w:jc w:val="both"/>
              <w:rPr>
                <w:rFonts w:ascii="Verdana" w:hAnsi="Verdana"/>
                <w:sz w:val="20"/>
              </w:rPr>
            </w:pPr>
          </w:p>
        </w:tc>
        <w:tc>
          <w:tcPr>
            <w:tcW w:w="27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proofErr w:type="spellStart"/>
            <w:r w:rsidRPr="005B2A17">
              <w:rPr>
                <w:rFonts w:ascii="Verdana" w:hAnsi="Verdana"/>
                <w:sz w:val="20"/>
              </w:rPr>
              <w:t>TijuanaOtay</w:t>
            </w:r>
            <w:proofErr w:type="spellEnd"/>
            <w:r w:rsidRPr="005B2A17">
              <w:rPr>
                <w:rFonts w:ascii="Verdana" w:hAnsi="Verdana"/>
                <w:sz w:val="20"/>
              </w:rPr>
              <w:t xml:space="preserve"> Mesa</w:t>
            </w:r>
          </w:p>
        </w:tc>
        <w:tc>
          <w:tcPr>
            <w:tcW w:w="16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WECCEUA</w:t>
            </w:r>
          </w:p>
        </w:tc>
        <w:tc>
          <w:tcPr>
            <w:tcW w:w="22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Tijuana</w:t>
            </w:r>
          </w:p>
        </w:tc>
      </w:tr>
      <w:tr w:rsidR="005B2A17" w:rsidRPr="005B2A17" w:rsidTr="005B2A17">
        <w:trPr>
          <w:trHeight w:val="220"/>
        </w:trPr>
        <w:tc>
          <w:tcPr>
            <w:tcW w:w="128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Oriental</w:t>
            </w:r>
          </w:p>
        </w:tc>
        <w:tc>
          <w:tcPr>
            <w:tcW w:w="27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 xml:space="preserve">Tapachula </w:t>
            </w:r>
            <w:proofErr w:type="spellStart"/>
            <w:r w:rsidRPr="005B2A17">
              <w:rPr>
                <w:rFonts w:ascii="Verdana" w:hAnsi="Verdana"/>
                <w:sz w:val="20"/>
              </w:rPr>
              <w:t>PotenciaLos</w:t>
            </w:r>
            <w:proofErr w:type="spellEnd"/>
            <w:r w:rsidRPr="005B2A17">
              <w:rPr>
                <w:rFonts w:ascii="Verdana" w:hAnsi="Verdana"/>
                <w:sz w:val="20"/>
              </w:rPr>
              <w:t xml:space="preserve"> Brillantes</w:t>
            </w:r>
          </w:p>
        </w:tc>
        <w:tc>
          <w:tcPr>
            <w:tcW w:w="16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AMM-Guatemala</w:t>
            </w:r>
          </w:p>
        </w:tc>
        <w:tc>
          <w:tcPr>
            <w:tcW w:w="22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Tapachula Potencia</w:t>
            </w:r>
          </w:p>
        </w:tc>
      </w:tr>
      <w:tr w:rsidR="005B2A17" w:rsidRPr="005B2A17" w:rsidTr="005B2A17">
        <w:trPr>
          <w:trHeight w:val="235"/>
        </w:trPr>
        <w:tc>
          <w:tcPr>
            <w:tcW w:w="128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Peninsular</w:t>
            </w:r>
          </w:p>
        </w:tc>
        <w:tc>
          <w:tcPr>
            <w:tcW w:w="27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proofErr w:type="spellStart"/>
            <w:r w:rsidRPr="005B2A17">
              <w:rPr>
                <w:rFonts w:ascii="Verdana" w:hAnsi="Verdana"/>
                <w:sz w:val="20"/>
              </w:rPr>
              <w:t>Xul</w:t>
            </w:r>
            <w:proofErr w:type="spellEnd"/>
            <w:r w:rsidRPr="005B2A17">
              <w:rPr>
                <w:rFonts w:ascii="Verdana" w:hAnsi="Verdana"/>
                <w:sz w:val="20"/>
              </w:rPr>
              <w:t>-Ha-West</w:t>
            </w:r>
          </w:p>
        </w:tc>
        <w:tc>
          <w:tcPr>
            <w:tcW w:w="16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proofErr w:type="spellStart"/>
            <w:r w:rsidRPr="005B2A17">
              <w:rPr>
                <w:rFonts w:ascii="Verdana" w:hAnsi="Verdana"/>
                <w:sz w:val="20"/>
              </w:rPr>
              <w:t>BELBelice</w:t>
            </w:r>
            <w:proofErr w:type="spellEnd"/>
          </w:p>
        </w:tc>
        <w:tc>
          <w:tcPr>
            <w:tcW w:w="22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5B2A17" w:rsidRPr="005B2A17" w:rsidRDefault="005B2A17" w:rsidP="005B2A17">
            <w:pPr>
              <w:jc w:val="both"/>
              <w:rPr>
                <w:rFonts w:ascii="Verdana" w:hAnsi="Verdana"/>
                <w:sz w:val="20"/>
              </w:rPr>
            </w:pPr>
            <w:proofErr w:type="spellStart"/>
            <w:r w:rsidRPr="005B2A17">
              <w:rPr>
                <w:rFonts w:ascii="Verdana" w:hAnsi="Verdana"/>
                <w:sz w:val="20"/>
              </w:rPr>
              <w:t>Xul</w:t>
            </w:r>
            <w:proofErr w:type="spellEnd"/>
            <w:r w:rsidRPr="005B2A17">
              <w:rPr>
                <w:rFonts w:ascii="Verdana" w:hAnsi="Verdana"/>
                <w:sz w:val="20"/>
              </w:rPr>
              <w:t>-Ha</w:t>
            </w:r>
          </w:p>
        </w:tc>
      </w:tr>
    </w:tbl>
    <w:p w:rsidR="005B2A17" w:rsidRPr="005B2A17" w:rsidRDefault="005B2A17" w:rsidP="005B2A17">
      <w:pPr>
        <w:jc w:val="both"/>
        <w:rPr>
          <w:rFonts w:ascii="Verdana" w:hAnsi="Verdana"/>
          <w:sz w:val="20"/>
        </w:rPr>
      </w:pPr>
      <w:r w:rsidRPr="005B2A17">
        <w:rPr>
          <w:rFonts w:ascii="Verdana" w:hAnsi="Verdana"/>
          <w:sz w:val="20"/>
        </w:rPr>
        <w:t> </w:t>
      </w:r>
    </w:p>
    <w:p w:rsidR="005B2A17" w:rsidRPr="005B2A17" w:rsidRDefault="005B2A17" w:rsidP="005B2A17">
      <w:pPr>
        <w:jc w:val="both"/>
        <w:rPr>
          <w:rFonts w:ascii="Verdana" w:hAnsi="Verdana"/>
          <w:sz w:val="20"/>
        </w:rPr>
      </w:pPr>
      <w:r w:rsidRPr="005B2A17">
        <w:rPr>
          <w:rFonts w:ascii="Verdana" w:hAnsi="Verdana"/>
          <w:b/>
          <w:bCs/>
          <w:sz w:val="20"/>
        </w:rPr>
        <w:t>5.1.4</w:t>
      </w:r>
      <w:r w:rsidRPr="005B2A17">
        <w:rPr>
          <w:rFonts w:ascii="Verdana" w:hAnsi="Verdana"/>
          <w:sz w:val="20"/>
        </w:rPr>
        <w:t xml:space="preserve">   A fin de obtener el resultado recomendado en el Anexo 7 del presente Manual, los </w:t>
      </w:r>
      <w:proofErr w:type="spellStart"/>
      <w:r w:rsidRPr="005B2A17">
        <w:rPr>
          <w:rFonts w:ascii="Verdana" w:hAnsi="Verdana"/>
          <w:sz w:val="20"/>
        </w:rPr>
        <w:t>NodosC</w:t>
      </w:r>
      <w:proofErr w:type="spellEnd"/>
      <w:r w:rsidRPr="005B2A17">
        <w:rPr>
          <w:rFonts w:ascii="Verdana" w:hAnsi="Verdana"/>
          <w:sz w:val="20"/>
        </w:rPr>
        <w:t xml:space="preserve"> y </w:t>
      </w:r>
      <w:proofErr w:type="spellStart"/>
      <w:r w:rsidRPr="005B2A17">
        <w:rPr>
          <w:rFonts w:ascii="Verdana" w:hAnsi="Verdana"/>
          <w:sz w:val="20"/>
        </w:rPr>
        <w:t>NodosP</w:t>
      </w:r>
      <w:proofErr w:type="spellEnd"/>
      <w:r w:rsidRPr="005B2A17">
        <w:rPr>
          <w:rFonts w:ascii="Verdana" w:hAnsi="Verdana"/>
          <w:sz w:val="20"/>
        </w:rPr>
        <w:t xml:space="preserve"> asociados a las importaciones y exportaciones de cada Enlace de Interconexión Internacional se incluirán en el Modelo de la Red Física y el Modelo Comercial del Mercado y de acuerdo con las siguientes consideraciones:</w:t>
      </w:r>
    </w:p>
    <w:p w:rsidR="005B2A17" w:rsidRPr="005B2A17" w:rsidRDefault="005B2A17" w:rsidP="005B2A17">
      <w:pPr>
        <w:jc w:val="both"/>
        <w:rPr>
          <w:rFonts w:ascii="Verdana" w:hAnsi="Verdana"/>
          <w:sz w:val="20"/>
        </w:rPr>
      </w:pPr>
      <w:r w:rsidRPr="005B2A17">
        <w:rPr>
          <w:rFonts w:ascii="Verdana" w:hAnsi="Verdana"/>
          <w:sz w:val="20"/>
        </w:rPr>
        <w:t xml:space="preserve">(i)   Se modela la línea de transmisión transnacional en el Modelo de Red Física, con un </w:t>
      </w:r>
      <w:proofErr w:type="spellStart"/>
      <w:r w:rsidRPr="005B2A17">
        <w:rPr>
          <w:rFonts w:ascii="Verdana" w:hAnsi="Verdana"/>
          <w:sz w:val="20"/>
        </w:rPr>
        <w:t>NodoC</w:t>
      </w:r>
      <w:proofErr w:type="spellEnd"/>
      <w:r w:rsidRPr="005B2A17">
        <w:rPr>
          <w:rFonts w:ascii="Verdana" w:hAnsi="Verdana"/>
          <w:sz w:val="20"/>
        </w:rPr>
        <w:t xml:space="preserve"> correspondiente al bus de red ubicado en el territorio nacional y otro </w:t>
      </w:r>
      <w:proofErr w:type="spellStart"/>
      <w:r w:rsidRPr="005B2A17">
        <w:rPr>
          <w:rFonts w:ascii="Verdana" w:hAnsi="Verdana"/>
          <w:sz w:val="20"/>
        </w:rPr>
        <w:t>NodoC</w:t>
      </w:r>
      <w:proofErr w:type="spellEnd"/>
      <w:r w:rsidRPr="005B2A17">
        <w:rPr>
          <w:rFonts w:ascii="Verdana" w:hAnsi="Verdana"/>
          <w:sz w:val="20"/>
        </w:rPr>
        <w:t xml:space="preserve"> correspondiente al bus de red ubicado en el Sistema Eléctrico Vecino.</w:t>
      </w:r>
    </w:p>
    <w:p w:rsidR="005B2A17" w:rsidRPr="005B2A17" w:rsidRDefault="005B2A17" w:rsidP="005B2A17">
      <w:pPr>
        <w:jc w:val="both"/>
        <w:rPr>
          <w:rFonts w:ascii="Verdana" w:hAnsi="Verdana"/>
          <w:sz w:val="20"/>
        </w:rPr>
      </w:pPr>
      <w:r w:rsidRPr="005B2A17">
        <w:rPr>
          <w:rFonts w:ascii="Verdana" w:hAnsi="Verdana"/>
          <w:sz w:val="20"/>
        </w:rPr>
        <w:t xml:space="preserve">(ii)   En el Modelo Comercial del Mercado se crea un </w:t>
      </w:r>
      <w:proofErr w:type="spellStart"/>
      <w:r w:rsidRPr="005B2A17">
        <w:rPr>
          <w:rFonts w:ascii="Verdana" w:hAnsi="Verdana"/>
          <w:sz w:val="20"/>
        </w:rPr>
        <w:t>NodoP</w:t>
      </w:r>
      <w:proofErr w:type="spellEnd"/>
      <w:r w:rsidRPr="005B2A17">
        <w:rPr>
          <w:rFonts w:ascii="Verdana" w:hAnsi="Verdana"/>
          <w:sz w:val="20"/>
        </w:rPr>
        <w:t xml:space="preserve"> para el bus de red ubicado en el territorio nacional y otro </w:t>
      </w:r>
      <w:proofErr w:type="spellStart"/>
      <w:r w:rsidRPr="005B2A17">
        <w:rPr>
          <w:rFonts w:ascii="Verdana" w:hAnsi="Verdana"/>
          <w:sz w:val="20"/>
        </w:rPr>
        <w:t>NodoP</w:t>
      </w:r>
      <w:proofErr w:type="spellEnd"/>
      <w:r w:rsidRPr="005B2A17">
        <w:rPr>
          <w:rFonts w:ascii="Verdana" w:hAnsi="Verdana"/>
          <w:sz w:val="20"/>
        </w:rPr>
        <w:t xml:space="preserve"> correspondiente al bus de red ubicado en el Sistema Eléctrico Vecino.</w:t>
      </w:r>
    </w:p>
    <w:p w:rsidR="005B2A17" w:rsidRPr="005B2A17" w:rsidRDefault="005B2A17" w:rsidP="005B2A17">
      <w:pPr>
        <w:jc w:val="both"/>
        <w:rPr>
          <w:rFonts w:ascii="Verdana" w:hAnsi="Verdana"/>
          <w:sz w:val="20"/>
        </w:rPr>
      </w:pPr>
      <w:r w:rsidRPr="005B2A17">
        <w:rPr>
          <w:rFonts w:ascii="Verdana" w:hAnsi="Verdana"/>
          <w:sz w:val="20"/>
        </w:rPr>
        <w:t xml:space="preserve">(iii)  Las importaciones de energía se caracterizan en el Modelo de Red Física como elementos (unidades virtuales) conectados al </w:t>
      </w:r>
      <w:proofErr w:type="spellStart"/>
      <w:r w:rsidRPr="005B2A17">
        <w:rPr>
          <w:rFonts w:ascii="Verdana" w:hAnsi="Verdana"/>
          <w:sz w:val="20"/>
        </w:rPr>
        <w:t>NodoC</w:t>
      </w:r>
      <w:proofErr w:type="spellEnd"/>
      <w:r w:rsidRPr="005B2A17">
        <w:rPr>
          <w:rFonts w:ascii="Verdana" w:hAnsi="Verdana"/>
          <w:sz w:val="20"/>
        </w:rPr>
        <w:t xml:space="preserve"> del Sistema Eléctrico Vecino. Las exportaciones de energía se caracterizan como elementos (centros de carga virtuales) conectados al </w:t>
      </w:r>
      <w:proofErr w:type="spellStart"/>
      <w:r w:rsidRPr="005B2A17">
        <w:rPr>
          <w:rFonts w:ascii="Verdana" w:hAnsi="Verdana"/>
          <w:sz w:val="20"/>
        </w:rPr>
        <w:t>NodoC</w:t>
      </w:r>
      <w:proofErr w:type="spellEnd"/>
      <w:r w:rsidRPr="005B2A17">
        <w:rPr>
          <w:rFonts w:ascii="Verdana" w:hAnsi="Verdana"/>
          <w:sz w:val="20"/>
        </w:rPr>
        <w:t> del bus de red del Sistema Eléctrico Vecino.</w:t>
      </w:r>
    </w:p>
    <w:p w:rsidR="005B2A17" w:rsidRPr="005B2A17" w:rsidRDefault="005B2A17" w:rsidP="005B2A17">
      <w:pPr>
        <w:jc w:val="both"/>
        <w:rPr>
          <w:rFonts w:ascii="Verdana" w:hAnsi="Verdana"/>
          <w:sz w:val="20"/>
        </w:rPr>
      </w:pPr>
      <w:r w:rsidRPr="005B2A17">
        <w:rPr>
          <w:rFonts w:ascii="Verdana" w:hAnsi="Verdana"/>
          <w:sz w:val="20"/>
        </w:rPr>
        <w:t>(iv)  Los modelos de asignación de unidades y despacho de generación del Mercado de Corto Plazo consideran en su proceso de solución a las restricciones de transmisión asociadas a la Capacidad Absoluta de Transferencia Disponible establecida para cada Enlace de Interconexión Internacional en los dos sentidos del flujo de potencia.</w:t>
      </w:r>
    </w:p>
    <w:p w:rsidR="005B2A17" w:rsidRPr="005B2A17" w:rsidRDefault="005B2A17" w:rsidP="005B2A17">
      <w:pPr>
        <w:jc w:val="both"/>
        <w:rPr>
          <w:rFonts w:ascii="Verdana" w:hAnsi="Verdana"/>
          <w:sz w:val="20"/>
        </w:rPr>
      </w:pPr>
      <w:r w:rsidRPr="005B2A17">
        <w:rPr>
          <w:rFonts w:ascii="Verdana" w:hAnsi="Verdana"/>
          <w:sz w:val="20"/>
        </w:rPr>
        <w:lastRenderedPageBreak/>
        <w:t xml:space="preserve">(v)  En el Modelo Comercial de Mercado, el </w:t>
      </w:r>
      <w:proofErr w:type="spellStart"/>
      <w:r w:rsidRPr="005B2A17">
        <w:rPr>
          <w:rFonts w:ascii="Verdana" w:hAnsi="Verdana"/>
          <w:sz w:val="20"/>
        </w:rPr>
        <w:t>NodoP</w:t>
      </w:r>
      <w:proofErr w:type="spellEnd"/>
      <w:r w:rsidRPr="005B2A17">
        <w:rPr>
          <w:rFonts w:ascii="Verdana" w:hAnsi="Verdana"/>
          <w:sz w:val="20"/>
        </w:rPr>
        <w:t xml:space="preserve"> asociado al punto de entrega/recepción de las importaciones y exportaciones será el correspondiente al bus de red ubicado en el Sistema Eléctrico Vecino. El CENACE adoptará una nomenclatura estandarizada para distinguir entre los dos </w:t>
      </w:r>
      <w:proofErr w:type="spellStart"/>
      <w:r w:rsidRPr="005B2A17">
        <w:rPr>
          <w:rFonts w:ascii="Verdana" w:hAnsi="Verdana"/>
          <w:sz w:val="20"/>
        </w:rPr>
        <w:t>NodosP</w:t>
      </w:r>
      <w:proofErr w:type="spellEnd"/>
      <w:r w:rsidRPr="005B2A17">
        <w:rPr>
          <w:rFonts w:ascii="Verdana" w:hAnsi="Verdana"/>
          <w:sz w:val="20"/>
        </w:rPr>
        <w:t xml:space="preserve"> asociados con cada interconexión, el del Sistema Eléctrico Nacional y el del Sistema Eléctrico Vecino.</w:t>
      </w:r>
    </w:p>
    <w:p w:rsidR="005B2A17" w:rsidRPr="005B2A17" w:rsidRDefault="005B2A17" w:rsidP="005B2A17">
      <w:pPr>
        <w:jc w:val="both"/>
        <w:rPr>
          <w:rFonts w:ascii="Verdana" w:hAnsi="Verdana"/>
          <w:sz w:val="20"/>
        </w:rPr>
      </w:pPr>
      <w:r w:rsidRPr="005B2A17">
        <w:rPr>
          <w:rFonts w:ascii="Verdana" w:hAnsi="Verdana"/>
          <w:sz w:val="20"/>
        </w:rPr>
        <w:t>(</w:t>
      </w:r>
      <w:proofErr w:type="gramStart"/>
      <w:r w:rsidRPr="005B2A17">
        <w:rPr>
          <w:rFonts w:ascii="Verdana" w:hAnsi="Verdana"/>
          <w:sz w:val="20"/>
        </w:rPr>
        <w:t>vi</w:t>
      </w:r>
      <w:proofErr w:type="gramEnd"/>
      <w:r w:rsidRPr="005B2A17">
        <w:rPr>
          <w:rFonts w:ascii="Verdana" w:hAnsi="Verdana"/>
          <w:sz w:val="20"/>
        </w:rPr>
        <w:t xml:space="preserve">)  Los precios asignados a las transacciones de importación y exportación en el Mercado de Corto Plazo serán los precios del </w:t>
      </w:r>
      <w:proofErr w:type="spellStart"/>
      <w:r w:rsidRPr="005B2A17">
        <w:rPr>
          <w:rFonts w:ascii="Verdana" w:hAnsi="Verdana"/>
          <w:sz w:val="20"/>
        </w:rPr>
        <w:t>NodoP</w:t>
      </w:r>
      <w:proofErr w:type="spellEnd"/>
      <w:r w:rsidRPr="005B2A17">
        <w:rPr>
          <w:rFonts w:ascii="Verdana" w:hAnsi="Verdana"/>
          <w:sz w:val="20"/>
        </w:rPr>
        <w:t xml:space="preserve"> correspondiente al bus de red ubicado en el Sistema Eléctrico Vecino. De tal forma, cuando las ofertas de venta para importación o de compra para exportación rebasan la Capacidad Absoluta de Transferencia Disponible, el criterio usado para asignar el programa será el precio de las ofertas, y el precio que el Mercado Eléctrico Mayorista paga por importaciones o cobra por exportaciones será el precio de la oferta marginal que se asigne. El Mercado Eléctrico Mayorista no pagará un precio mayor al precio de oferta de la oferta marginal seleccionada, y no cobrará un precio mayor al precio de oferta de la oferta marginal seleccionada cuando las ofertas de venta para importación o de compra para exportación rebasan la Capacidad Absoluta de Transferencia Disponible.</w:t>
      </w:r>
    </w:p>
    <w:p w:rsidR="005B2A17" w:rsidRPr="005B2A17" w:rsidRDefault="005B2A17" w:rsidP="005B2A17">
      <w:pPr>
        <w:jc w:val="both"/>
        <w:rPr>
          <w:rFonts w:ascii="Verdana" w:hAnsi="Verdana"/>
          <w:sz w:val="20"/>
        </w:rPr>
      </w:pPr>
      <w:r w:rsidRPr="005B2A17">
        <w:rPr>
          <w:rFonts w:ascii="Verdana" w:hAnsi="Verdana"/>
          <w:sz w:val="20"/>
        </w:rPr>
        <w:t xml:space="preserve">(vii) En el caso de Baja California, el límite de enlace se aplicará conjuntamente, de tal forma que los flujos programados entre cada </w:t>
      </w:r>
      <w:proofErr w:type="spellStart"/>
      <w:r w:rsidRPr="005B2A17">
        <w:rPr>
          <w:rFonts w:ascii="Verdana" w:hAnsi="Verdana"/>
          <w:sz w:val="20"/>
        </w:rPr>
        <w:t>NodoP</w:t>
      </w:r>
      <w:proofErr w:type="spellEnd"/>
      <w:r w:rsidRPr="005B2A17">
        <w:rPr>
          <w:rFonts w:ascii="Verdana" w:hAnsi="Verdana"/>
          <w:sz w:val="20"/>
        </w:rPr>
        <w:t xml:space="preserve"> en territorio nacional y su Punto de Entrega/Recepción correspondiente, en suma, no rebasen la Capacidad Absoluta de Transferencia Disponible.</w:t>
      </w:r>
    </w:p>
    <w:p w:rsidR="005B2A17" w:rsidRPr="005B2A17" w:rsidRDefault="005B2A17" w:rsidP="005B2A17">
      <w:pPr>
        <w:jc w:val="both"/>
        <w:rPr>
          <w:rFonts w:ascii="Verdana" w:hAnsi="Verdana"/>
          <w:sz w:val="20"/>
        </w:rPr>
      </w:pPr>
      <w:r w:rsidRPr="005B2A17">
        <w:rPr>
          <w:rFonts w:ascii="Verdana" w:hAnsi="Verdana"/>
          <w:sz w:val="20"/>
        </w:rPr>
        <w:t> </w:t>
      </w:r>
    </w:p>
    <w:p w:rsidR="005B2A17" w:rsidRPr="005B2A17" w:rsidRDefault="005B2A17" w:rsidP="005B2A17">
      <w:pPr>
        <w:jc w:val="both"/>
        <w:rPr>
          <w:rFonts w:ascii="Verdana" w:hAnsi="Verdana"/>
          <w:sz w:val="20"/>
        </w:rPr>
      </w:pPr>
      <w:r w:rsidRPr="005B2A17">
        <w:rPr>
          <w:rFonts w:ascii="Verdana" w:hAnsi="Verdana"/>
          <w:b/>
          <w:bCs/>
          <w:sz w:val="20"/>
        </w:rPr>
        <w:t>CAPÍTULO 6</w:t>
      </w:r>
    </w:p>
    <w:p w:rsidR="005B2A17" w:rsidRPr="005B2A17" w:rsidRDefault="005B2A17" w:rsidP="005B2A17">
      <w:pPr>
        <w:jc w:val="both"/>
        <w:rPr>
          <w:rFonts w:ascii="Verdana" w:hAnsi="Verdana"/>
          <w:sz w:val="20"/>
        </w:rPr>
      </w:pPr>
      <w:r w:rsidRPr="005B2A17">
        <w:rPr>
          <w:rFonts w:ascii="Verdana" w:hAnsi="Verdana"/>
          <w:b/>
          <w:bCs/>
          <w:sz w:val="20"/>
        </w:rPr>
        <w:t>Programación de importaciones y exportaciones en el Mercado del Día en Adelanto</w:t>
      </w:r>
    </w:p>
    <w:p w:rsidR="005B2A17" w:rsidRPr="005B2A17" w:rsidRDefault="005B2A17" w:rsidP="005B2A17">
      <w:pPr>
        <w:jc w:val="both"/>
        <w:rPr>
          <w:rFonts w:ascii="Verdana" w:hAnsi="Verdana"/>
          <w:sz w:val="20"/>
        </w:rPr>
      </w:pPr>
      <w:r w:rsidRPr="005B2A17">
        <w:rPr>
          <w:rFonts w:ascii="Verdana" w:hAnsi="Verdana"/>
          <w:b/>
          <w:bCs/>
          <w:sz w:val="20"/>
        </w:rPr>
        <w:t>6.1</w:t>
      </w:r>
      <w:r w:rsidRPr="005B2A17">
        <w:rPr>
          <w:rFonts w:ascii="Verdana" w:hAnsi="Verdana"/>
          <w:sz w:val="20"/>
        </w:rPr>
        <w:t>      </w:t>
      </w:r>
      <w:r w:rsidRPr="005B2A17">
        <w:rPr>
          <w:rFonts w:ascii="Verdana" w:hAnsi="Verdana"/>
          <w:b/>
          <w:bCs/>
          <w:sz w:val="20"/>
        </w:rPr>
        <w:t>Generalidades</w:t>
      </w:r>
    </w:p>
    <w:p w:rsidR="005B2A17" w:rsidRPr="005B2A17" w:rsidRDefault="005B2A17" w:rsidP="005B2A17">
      <w:pPr>
        <w:jc w:val="both"/>
        <w:rPr>
          <w:rFonts w:ascii="Verdana" w:hAnsi="Verdana"/>
          <w:sz w:val="20"/>
        </w:rPr>
      </w:pPr>
      <w:r w:rsidRPr="005B2A17">
        <w:rPr>
          <w:rFonts w:ascii="Verdana" w:hAnsi="Verdana"/>
          <w:b/>
          <w:bCs/>
          <w:sz w:val="20"/>
        </w:rPr>
        <w:t>6.1.1</w:t>
      </w:r>
      <w:r w:rsidRPr="005B2A17">
        <w:rPr>
          <w:rFonts w:ascii="Verdana" w:hAnsi="Verdana"/>
          <w:sz w:val="20"/>
        </w:rPr>
        <w:t>    Los programas de importaciones y exportaciones entre Sistemas Eléctricos Vecinos serán los únicos programas físicos de transmisión administrados por el CENACE.</w:t>
      </w:r>
    </w:p>
    <w:p w:rsidR="005B2A17" w:rsidRPr="005B2A17" w:rsidRDefault="005B2A17" w:rsidP="005B2A17">
      <w:pPr>
        <w:jc w:val="both"/>
        <w:rPr>
          <w:rFonts w:ascii="Verdana" w:hAnsi="Verdana"/>
          <w:sz w:val="20"/>
        </w:rPr>
      </w:pPr>
      <w:r w:rsidRPr="005B2A17">
        <w:rPr>
          <w:rFonts w:ascii="Verdana" w:hAnsi="Verdana"/>
          <w:b/>
          <w:bCs/>
          <w:sz w:val="20"/>
        </w:rPr>
        <w:t>6.1.2</w:t>
      </w:r>
      <w:r w:rsidRPr="005B2A17">
        <w:rPr>
          <w:rFonts w:ascii="Verdana" w:hAnsi="Verdana"/>
          <w:sz w:val="20"/>
        </w:rPr>
        <w:t>    La suma de los programas de importación sobre cada enlace no puede ser mayor a la Capacidad Absoluta de Transferencia Disponible de importación del enlace. La suma de los programas de exportación sobre cada enlace no puede ser mayor a la Capacidad Absoluta de Transferencia Disponible de exportación sobre el enlace.</w:t>
      </w:r>
    </w:p>
    <w:p w:rsidR="005B2A17" w:rsidRPr="005B2A17" w:rsidRDefault="005B2A17" w:rsidP="005B2A17">
      <w:pPr>
        <w:jc w:val="both"/>
        <w:rPr>
          <w:rFonts w:ascii="Verdana" w:hAnsi="Verdana"/>
          <w:sz w:val="20"/>
        </w:rPr>
      </w:pPr>
      <w:r w:rsidRPr="005B2A17">
        <w:rPr>
          <w:rFonts w:ascii="Verdana" w:hAnsi="Verdana"/>
          <w:b/>
          <w:bCs/>
          <w:sz w:val="20"/>
        </w:rPr>
        <w:t>6.1.3</w:t>
      </w:r>
      <w:r w:rsidRPr="005B2A17">
        <w:rPr>
          <w:rFonts w:ascii="Verdana" w:hAnsi="Verdana"/>
          <w:sz w:val="20"/>
        </w:rPr>
        <w:t>    Los programas de importaciones de Centrales Eléctricas localizadas en el extranjero e interconectadas exclusivamente al Sistema Eléctrico Nacional, así como los programas de exportaciones a Centros de Carga localizados en el extranjero conectados exclusivamente al Sistema Eléctrico Nacional, se realizarán en el Mercado del Día en Adelanto y en el Mercado de Tiempo Real sin distinción de las Centrales Eléctricas y Centros de Carga ubicados en territorio nacional.</w:t>
      </w:r>
    </w:p>
    <w:p w:rsidR="005B2A17" w:rsidRPr="005B2A17" w:rsidRDefault="005B2A17" w:rsidP="005B2A17">
      <w:pPr>
        <w:jc w:val="both"/>
        <w:rPr>
          <w:rFonts w:ascii="Verdana" w:hAnsi="Verdana"/>
          <w:sz w:val="20"/>
        </w:rPr>
      </w:pPr>
      <w:r w:rsidRPr="005B2A17">
        <w:rPr>
          <w:rFonts w:ascii="Verdana" w:hAnsi="Verdana"/>
          <w:b/>
          <w:bCs/>
          <w:sz w:val="20"/>
        </w:rPr>
        <w:lastRenderedPageBreak/>
        <w:t>6.1.4</w:t>
      </w:r>
      <w:r w:rsidRPr="005B2A17">
        <w:rPr>
          <w:rFonts w:ascii="Verdana" w:hAnsi="Verdana"/>
          <w:sz w:val="20"/>
        </w:rPr>
        <w:t>    El CENACE publicará en el Sistema de Información de Mercado, las cantidades de energías residuales (exportaciones por confiabilidad), así como también las cantidades de energía de déficit (importaciones por confiabilidad), que se estimen que se presenten el Mercado. Dicha publicación se realizará a más tardar a las 9:00 horas del día previo al Día de Operación.</w:t>
      </w:r>
    </w:p>
    <w:p w:rsidR="005B2A17" w:rsidRPr="005B2A17" w:rsidRDefault="005B2A17" w:rsidP="005B2A17">
      <w:pPr>
        <w:jc w:val="both"/>
        <w:rPr>
          <w:rFonts w:ascii="Verdana" w:hAnsi="Verdana"/>
          <w:sz w:val="20"/>
        </w:rPr>
      </w:pPr>
      <w:r w:rsidRPr="005B2A17">
        <w:rPr>
          <w:rFonts w:ascii="Verdana" w:hAnsi="Verdana"/>
          <w:b/>
          <w:bCs/>
          <w:sz w:val="20"/>
        </w:rPr>
        <w:t>6.1.5</w:t>
      </w:r>
      <w:r w:rsidRPr="005B2A17">
        <w:rPr>
          <w:rFonts w:ascii="Verdana" w:hAnsi="Verdana"/>
          <w:sz w:val="20"/>
        </w:rPr>
        <w:t>    El CENACE publicará diariamente para el horizonte extendido de 7 días, las capacidades de energías residuales como de déficit en el Sistema de Información del Mercado.</w:t>
      </w:r>
    </w:p>
    <w:p w:rsidR="005B2A17" w:rsidRPr="005B2A17" w:rsidRDefault="005B2A17" w:rsidP="005B2A17">
      <w:pPr>
        <w:jc w:val="both"/>
        <w:rPr>
          <w:rFonts w:ascii="Verdana" w:hAnsi="Verdana"/>
          <w:sz w:val="20"/>
        </w:rPr>
      </w:pPr>
      <w:r w:rsidRPr="005B2A17">
        <w:rPr>
          <w:rFonts w:ascii="Verdana" w:hAnsi="Verdana"/>
          <w:b/>
          <w:bCs/>
          <w:sz w:val="20"/>
        </w:rPr>
        <w:t>6.2</w:t>
      </w:r>
      <w:r w:rsidRPr="005B2A17">
        <w:rPr>
          <w:rFonts w:ascii="Verdana" w:hAnsi="Verdana"/>
          <w:sz w:val="20"/>
        </w:rPr>
        <w:t>      </w:t>
      </w:r>
      <w:r w:rsidRPr="005B2A17">
        <w:rPr>
          <w:rFonts w:ascii="Verdana" w:hAnsi="Verdana"/>
          <w:b/>
          <w:bCs/>
          <w:sz w:val="20"/>
        </w:rPr>
        <w:t>Programación de importación y exportación por los Participantes del Mercado.</w:t>
      </w:r>
    </w:p>
    <w:p w:rsidR="005B2A17" w:rsidRPr="005B2A17" w:rsidRDefault="005B2A17" w:rsidP="005B2A17">
      <w:pPr>
        <w:jc w:val="both"/>
        <w:rPr>
          <w:rFonts w:ascii="Verdana" w:hAnsi="Verdana"/>
          <w:sz w:val="20"/>
        </w:rPr>
      </w:pPr>
      <w:r w:rsidRPr="005B2A17">
        <w:rPr>
          <w:rFonts w:ascii="Verdana" w:hAnsi="Verdana"/>
          <w:b/>
          <w:bCs/>
          <w:sz w:val="20"/>
        </w:rPr>
        <w:t>6.2.1</w:t>
      </w:r>
      <w:r w:rsidRPr="005B2A17">
        <w:rPr>
          <w:rFonts w:ascii="Verdana" w:hAnsi="Verdana"/>
          <w:sz w:val="20"/>
        </w:rPr>
        <w:t>    Los Participantes del Mercado únicamente podrán programar importaciones o exportaciones comerciales entre Sistemas Eléctricos Vecinos y el Sistema Eléctrico Nacional en el Mercado del Día en Adelanto.</w:t>
      </w:r>
    </w:p>
    <w:p w:rsidR="005B2A17" w:rsidRPr="005B2A17" w:rsidRDefault="005B2A17" w:rsidP="005B2A17">
      <w:pPr>
        <w:jc w:val="both"/>
        <w:rPr>
          <w:rFonts w:ascii="Verdana" w:hAnsi="Verdana"/>
          <w:sz w:val="20"/>
        </w:rPr>
      </w:pPr>
      <w:r w:rsidRPr="005B2A17">
        <w:rPr>
          <w:rFonts w:ascii="Verdana" w:hAnsi="Verdana"/>
          <w:b/>
          <w:bCs/>
          <w:sz w:val="20"/>
        </w:rPr>
        <w:t>6.2.2</w:t>
      </w:r>
      <w:r w:rsidRPr="005B2A17">
        <w:rPr>
          <w:rFonts w:ascii="Verdana" w:hAnsi="Verdana"/>
          <w:sz w:val="20"/>
        </w:rPr>
        <w:t xml:space="preserve">    Los Participantes del Mercado presentarán ofertas de venta para importaciones y de compra para exportaciones, en el Punto de Entrega/Punto de Recepción, a fin de aplicar los precios del </w:t>
      </w:r>
      <w:proofErr w:type="spellStart"/>
      <w:r w:rsidRPr="005B2A17">
        <w:rPr>
          <w:rFonts w:ascii="Verdana" w:hAnsi="Verdana"/>
          <w:sz w:val="20"/>
        </w:rPr>
        <w:t>NodoP</w:t>
      </w:r>
      <w:proofErr w:type="spellEnd"/>
      <w:r w:rsidRPr="005B2A17">
        <w:rPr>
          <w:rFonts w:ascii="Verdana" w:hAnsi="Verdana"/>
          <w:sz w:val="20"/>
        </w:rPr>
        <w:t> asociado con el bus del Sistema Eléctrico Vecino en el Modelo Comercial del Mercado.</w:t>
      </w:r>
    </w:p>
    <w:p w:rsidR="005B2A17" w:rsidRPr="005B2A17" w:rsidRDefault="005B2A17" w:rsidP="005B2A17">
      <w:pPr>
        <w:jc w:val="both"/>
        <w:rPr>
          <w:rFonts w:ascii="Verdana" w:hAnsi="Verdana"/>
          <w:sz w:val="20"/>
        </w:rPr>
      </w:pPr>
      <w:r w:rsidRPr="005B2A17">
        <w:rPr>
          <w:rFonts w:ascii="Verdana" w:hAnsi="Verdana"/>
          <w:b/>
          <w:bCs/>
          <w:sz w:val="20"/>
        </w:rPr>
        <w:t>6.2.3</w:t>
      </w:r>
      <w:r w:rsidRPr="005B2A17">
        <w:rPr>
          <w:rFonts w:ascii="Verdana" w:hAnsi="Verdana"/>
          <w:sz w:val="20"/>
        </w:rPr>
        <w:t>    Los Participantes del Mercado podrán presentar sus ofertas de venta (importación) y ofertas de compra (exportación) en los horarios establecidos para el Mercado del Día en Adelanto que se mencionan en el Manual de Mercado de Energía de Corto Plazo. Las ofertas estarán sujetas a los precios piso y tope generales que establezca la Unidad de Vigilancia del Mercado.</w:t>
      </w:r>
    </w:p>
    <w:p w:rsidR="005B2A17" w:rsidRPr="005B2A17" w:rsidRDefault="005B2A17" w:rsidP="005B2A17">
      <w:pPr>
        <w:jc w:val="both"/>
        <w:rPr>
          <w:rFonts w:ascii="Verdana" w:hAnsi="Verdana"/>
          <w:sz w:val="20"/>
        </w:rPr>
      </w:pPr>
      <w:r w:rsidRPr="005B2A17">
        <w:rPr>
          <w:rFonts w:ascii="Verdana" w:hAnsi="Verdana"/>
          <w:b/>
          <w:bCs/>
          <w:sz w:val="20"/>
        </w:rPr>
        <w:t>6.2.4</w:t>
      </w:r>
      <w:r w:rsidRPr="005B2A17">
        <w:rPr>
          <w:rFonts w:ascii="Verdana" w:hAnsi="Verdana"/>
          <w:sz w:val="20"/>
        </w:rPr>
        <w:t>    Los Participantes del Mercado presentarán ofertas de importación y exportación con valores enteros y sólo se permitirán valores incrementales de 1 MW; por lo que los valores fraccionados serán rechazados.</w:t>
      </w:r>
    </w:p>
    <w:p w:rsidR="005B2A17" w:rsidRPr="005B2A17" w:rsidRDefault="005B2A17" w:rsidP="005B2A17">
      <w:pPr>
        <w:jc w:val="both"/>
        <w:rPr>
          <w:rFonts w:ascii="Verdana" w:hAnsi="Verdana"/>
          <w:sz w:val="20"/>
        </w:rPr>
      </w:pPr>
      <w:r w:rsidRPr="005B2A17">
        <w:rPr>
          <w:rFonts w:ascii="Verdana" w:hAnsi="Verdana"/>
          <w:b/>
          <w:bCs/>
          <w:sz w:val="20"/>
        </w:rPr>
        <w:t>6.2.5</w:t>
      </w:r>
      <w:r w:rsidRPr="005B2A17">
        <w:rPr>
          <w:rFonts w:ascii="Verdana" w:hAnsi="Verdana"/>
          <w:sz w:val="20"/>
        </w:rPr>
        <w:t xml:space="preserve">    Las ofertas de importación y exportación serán optimizadas en el proceso de Asignación y Despacho de Unidades de Central Eléctrica en el Mercado del Día en Adelanto que se menciona en el Manual de Mercado de Corto Plazo. Dicho proceso de Asignación y Despacho considerará solamente los precios ofrecidos por la energía de importación o exportación, por lo cual no se dará preferencia a ninguna oferta a raíz de la naturaleza de los contratos de compraventa o contratos para transacciones de energía asociados con ella. En particular, la existencia de </w:t>
      </w:r>
      <w:proofErr w:type="spellStart"/>
      <w:r w:rsidRPr="005B2A17">
        <w:rPr>
          <w:rFonts w:ascii="Verdana" w:hAnsi="Verdana"/>
          <w:sz w:val="20"/>
        </w:rPr>
        <w:t>obligacionescontractuales</w:t>
      </w:r>
      <w:proofErr w:type="spellEnd"/>
      <w:r w:rsidRPr="005B2A17">
        <w:rPr>
          <w:rFonts w:ascii="Verdana" w:hAnsi="Verdana"/>
          <w:sz w:val="20"/>
        </w:rPr>
        <w:t xml:space="preserve"> para entregar "capacidad firme", "potencia firme", "energía firme" u otro producto similar, no dará a ningún Participante de Mercado el derecho a preferencia en la importación o exportación. A fin de respetar los principios de acceso abierto y no indebidamente discriminatorio, los Participantes de Mercado sólo podrán obtener preferencia en la importación o exportación a través de los precios que ofrecen al Mercado de Corto Plazo para la energía en cuestión.</w:t>
      </w:r>
    </w:p>
    <w:p w:rsidR="005B2A17" w:rsidRPr="005B2A17" w:rsidRDefault="005B2A17" w:rsidP="005B2A17">
      <w:pPr>
        <w:jc w:val="both"/>
        <w:rPr>
          <w:rFonts w:ascii="Verdana" w:hAnsi="Verdana"/>
          <w:sz w:val="20"/>
        </w:rPr>
      </w:pPr>
      <w:r w:rsidRPr="005B2A17">
        <w:rPr>
          <w:rFonts w:ascii="Verdana" w:hAnsi="Verdana"/>
          <w:b/>
          <w:bCs/>
          <w:sz w:val="20"/>
        </w:rPr>
        <w:t>6.2.6</w:t>
      </w:r>
      <w:r w:rsidRPr="005B2A17">
        <w:rPr>
          <w:rFonts w:ascii="Verdana" w:hAnsi="Verdana"/>
          <w:sz w:val="20"/>
        </w:rPr>
        <w:t xml:space="preserve">    El CENACE no permitirá la programación de energía eléctrica de importación y exportación entre fracciones de hora ni programaciones de estatus "no firme" cuando </w:t>
      </w:r>
      <w:r w:rsidRPr="005B2A17">
        <w:rPr>
          <w:rFonts w:ascii="Verdana" w:hAnsi="Verdana"/>
          <w:sz w:val="20"/>
        </w:rPr>
        <w:lastRenderedPageBreak/>
        <w:t xml:space="preserve">la denominación "no firme" tiene como efecto aumentar las obligaciones de reservas operativas del importador o reducir las obligaciones de reservas operativas del exportador. Sin perjuicio de lo anterior, los programas implementados deberán respetar las rampas entre horas, en los términos acordados en </w:t>
      </w:r>
      <w:proofErr w:type="spellStart"/>
      <w:r w:rsidRPr="005B2A17">
        <w:rPr>
          <w:rFonts w:ascii="Verdana" w:hAnsi="Verdana"/>
          <w:sz w:val="20"/>
        </w:rPr>
        <w:t>losconvenios</w:t>
      </w:r>
      <w:proofErr w:type="spellEnd"/>
      <w:r w:rsidRPr="005B2A17">
        <w:rPr>
          <w:rFonts w:ascii="Verdana" w:hAnsi="Verdana"/>
          <w:sz w:val="20"/>
        </w:rPr>
        <w:t xml:space="preserve"> suscritos por el CENACE y el operador del sistema en el extranjero, y en todo momento se podrán reducir o modificar por el CENACE cuando se requiera para emergencia o confiabilidad del Sistema Eléctrico Nacional.</w:t>
      </w:r>
    </w:p>
    <w:p w:rsidR="005B2A17" w:rsidRPr="005B2A17" w:rsidRDefault="005B2A17" w:rsidP="005B2A17">
      <w:pPr>
        <w:jc w:val="both"/>
        <w:rPr>
          <w:rFonts w:ascii="Verdana" w:hAnsi="Verdana"/>
          <w:sz w:val="20"/>
        </w:rPr>
      </w:pPr>
      <w:r w:rsidRPr="005B2A17">
        <w:rPr>
          <w:rFonts w:ascii="Verdana" w:hAnsi="Verdana"/>
          <w:b/>
          <w:bCs/>
          <w:sz w:val="20"/>
        </w:rPr>
        <w:t>6.3</w:t>
      </w:r>
      <w:r w:rsidRPr="005B2A17">
        <w:rPr>
          <w:rFonts w:ascii="Verdana" w:hAnsi="Verdana"/>
          <w:sz w:val="20"/>
        </w:rPr>
        <w:t>      </w:t>
      </w:r>
      <w:r w:rsidRPr="005B2A17">
        <w:rPr>
          <w:rFonts w:ascii="Verdana" w:hAnsi="Verdana"/>
          <w:b/>
          <w:bCs/>
          <w:sz w:val="20"/>
        </w:rPr>
        <w:t>Convenios con organismos o autoridades que sean responsables de operar los mercados y sistemas eléctricos en el extranjero</w:t>
      </w:r>
    </w:p>
    <w:p w:rsidR="005B2A17" w:rsidRPr="005B2A17" w:rsidRDefault="005B2A17" w:rsidP="005B2A17">
      <w:pPr>
        <w:jc w:val="both"/>
        <w:rPr>
          <w:rFonts w:ascii="Verdana" w:hAnsi="Verdana"/>
          <w:sz w:val="20"/>
        </w:rPr>
      </w:pPr>
      <w:r w:rsidRPr="005B2A17">
        <w:rPr>
          <w:rFonts w:ascii="Verdana" w:hAnsi="Verdana"/>
          <w:b/>
          <w:bCs/>
          <w:sz w:val="20"/>
        </w:rPr>
        <w:t>6.3.1</w:t>
      </w:r>
      <w:r w:rsidRPr="005B2A17">
        <w:rPr>
          <w:rFonts w:ascii="Verdana" w:hAnsi="Verdana"/>
          <w:sz w:val="20"/>
        </w:rPr>
        <w:t>   De acuerdo con el artículo 11, fracción XXXIV de la Ley de la Industria Eléctrica, la Secretaría está facultada para autorizar al CENACE la celebración de convenios con los organismos o autoridades que sean responsables de operar los mercados y sistemas eléctricos en el extranjero.</w:t>
      </w:r>
    </w:p>
    <w:p w:rsidR="005B2A17" w:rsidRPr="005B2A17" w:rsidRDefault="005B2A17" w:rsidP="005B2A17">
      <w:pPr>
        <w:jc w:val="both"/>
        <w:rPr>
          <w:rFonts w:ascii="Verdana" w:hAnsi="Verdana"/>
          <w:sz w:val="20"/>
        </w:rPr>
      </w:pPr>
      <w:r w:rsidRPr="005B2A17">
        <w:rPr>
          <w:rFonts w:ascii="Verdana" w:hAnsi="Verdana"/>
          <w:sz w:val="20"/>
        </w:rPr>
        <w:t> </w:t>
      </w:r>
    </w:p>
    <w:p w:rsidR="005B2A17" w:rsidRPr="005B2A17" w:rsidRDefault="005B2A17" w:rsidP="005B2A17">
      <w:pPr>
        <w:jc w:val="both"/>
        <w:rPr>
          <w:rFonts w:ascii="Verdana" w:hAnsi="Verdana"/>
          <w:sz w:val="20"/>
        </w:rPr>
      </w:pPr>
      <w:r w:rsidRPr="005B2A17">
        <w:rPr>
          <w:rFonts w:ascii="Verdana" w:hAnsi="Verdana"/>
          <w:b/>
          <w:bCs/>
          <w:sz w:val="20"/>
        </w:rPr>
        <w:t>6.3.2</w:t>
      </w:r>
      <w:r w:rsidRPr="005B2A17">
        <w:rPr>
          <w:rFonts w:ascii="Verdana" w:hAnsi="Verdana"/>
          <w:sz w:val="20"/>
        </w:rPr>
        <w:t>    En caso de que la Secretaría autorice y el CENACE celebre un convenio a fin de mejorar la coordinación entre el Mercado Eléctrico Mayorista y el mercado extranjero, se podrán establecer consideraciones adicionales o excepciones a la sección 6.2, para las transacciones con el mercado extranjero correspondiente, mediante la publicación de una Disposición Operativa.</w:t>
      </w:r>
    </w:p>
    <w:p w:rsidR="005B2A17" w:rsidRPr="005B2A17" w:rsidRDefault="005B2A17" w:rsidP="005B2A17">
      <w:pPr>
        <w:jc w:val="both"/>
        <w:rPr>
          <w:rFonts w:ascii="Verdana" w:hAnsi="Verdana"/>
          <w:sz w:val="20"/>
        </w:rPr>
      </w:pPr>
      <w:r w:rsidRPr="005B2A17">
        <w:rPr>
          <w:rFonts w:ascii="Verdana" w:hAnsi="Verdana"/>
          <w:b/>
          <w:bCs/>
          <w:sz w:val="20"/>
        </w:rPr>
        <w:t>6.3.3</w:t>
      </w:r>
      <w:r w:rsidRPr="005B2A17">
        <w:rPr>
          <w:rFonts w:ascii="Verdana" w:hAnsi="Verdana"/>
          <w:sz w:val="20"/>
        </w:rPr>
        <w:t>    Antes del inicio del proceso de emisión de la Disposición Operativa correspondiente, los convenios completos a que se refiere esta sección 6.3 se harán públicos en el Sistema de Información del Mercado.</w:t>
      </w:r>
    </w:p>
    <w:p w:rsidR="005B2A17" w:rsidRPr="005B2A17" w:rsidRDefault="005B2A17" w:rsidP="005B2A17">
      <w:pPr>
        <w:jc w:val="both"/>
        <w:rPr>
          <w:rFonts w:ascii="Verdana" w:hAnsi="Verdana"/>
          <w:sz w:val="20"/>
        </w:rPr>
      </w:pPr>
      <w:r w:rsidRPr="005B2A17">
        <w:rPr>
          <w:rFonts w:ascii="Verdana" w:hAnsi="Verdana"/>
          <w:b/>
          <w:bCs/>
          <w:sz w:val="20"/>
        </w:rPr>
        <w:t>6.3.4</w:t>
      </w:r>
      <w:r w:rsidRPr="005B2A17">
        <w:rPr>
          <w:rFonts w:ascii="Verdana" w:hAnsi="Verdana"/>
          <w:sz w:val="20"/>
        </w:rPr>
        <w:t xml:space="preserve">    Los convenios a que se refiere esta sección 6.3 deberán tener como objetivo el uso más eficiente de los Enlaces de Interconexión, y deberán otorgar acceso a los mismos con base en criterios de despacho económico. Con este fin, podrán prever la </w:t>
      </w:r>
      <w:proofErr w:type="spellStart"/>
      <w:r w:rsidRPr="005B2A17">
        <w:rPr>
          <w:rFonts w:ascii="Verdana" w:hAnsi="Verdana"/>
          <w:sz w:val="20"/>
        </w:rPr>
        <w:t>co</w:t>
      </w:r>
      <w:proofErr w:type="spellEnd"/>
      <w:r w:rsidRPr="005B2A17">
        <w:rPr>
          <w:rFonts w:ascii="Verdana" w:hAnsi="Verdana"/>
          <w:sz w:val="20"/>
        </w:rPr>
        <w:t>-optimización del despacho económico entre los dos sistemas eléctricos, así como el establecimiento de precios que compartan beneficios entre los dos sistemas.</w:t>
      </w:r>
    </w:p>
    <w:p w:rsidR="005B2A17" w:rsidRPr="005B2A17" w:rsidRDefault="005B2A17" w:rsidP="005B2A17">
      <w:pPr>
        <w:jc w:val="both"/>
        <w:rPr>
          <w:rFonts w:ascii="Verdana" w:hAnsi="Verdana"/>
          <w:sz w:val="20"/>
        </w:rPr>
      </w:pPr>
      <w:r w:rsidRPr="005B2A17">
        <w:rPr>
          <w:rFonts w:ascii="Verdana" w:hAnsi="Verdana"/>
          <w:b/>
          <w:bCs/>
          <w:sz w:val="20"/>
        </w:rPr>
        <w:t>6.4</w:t>
      </w:r>
      <w:r w:rsidRPr="005B2A17">
        <w:rPr>
          <w:rFonts w:ascii="Verdana" w:hAnsi="Verdana"/>
          <w:sz w:val="20"/>
        </w:rPr>
        <w:t>      </w:t>
      </w:r>
      <w:r w:rsidRPr="005B2A17">
        <w:rPr>
          <w:rFonts w:ascii="Verdana" w:hAnsi="Verdana"/>
          <w:b/>
          <w:bCs/>
          <w:sz w:val="20"/>
        </w:rPr>
        <w:t>Estructura de oferta de importación de Participantes del Mercado</w:t>
      </w:r>
    </w:p>
    <w:p w:rsidR="005B2A17" w:rsidRPr="005B2A17" w:rsidRDefault="005B2A17" w:rsidP="005B2A17">
      <w:pPr>
        <w:jc w:val="both"/>
        <w:rPr>
          <w:rFonts w:ascii="Verdana" w:hAnsi="Verdana"/>
          <w:sz w:val="20"/>
        </w:rPr>
      </w:pPr>
      <w:r w:rsidRPr="005B2A17">
        <w:rPr>
          <w:rFonts w:ascii="Verdana" w:hAnsi="Verdana"/>
          <w:b/>
          <w:bCs/>
          <w:sz w:val="20"/>
        </w:rPr>
        <w:t>6.4.1</w:t>
      </w:r>
      <w:r w:rsidRPr="005B2A17">
        <w:rPr>
          <w:rFonts w:ascii="Verdana" w:hAnsi="Verdana"/>
          <w:sz w:val="20"/>
        </w:rPr>
        <w:t>    Las ofertas para realizar transacciones de importación deberán especificar la Cantidad (</w:t>
      </w:r>
      <w:proofErr w:type="spellStart"/>
      <w:r w:rsidRPr="005B2A17">
        <w:rPr>
          <w:rFonts w:ascii="Verdana" w:hAnsi="Verdana"/>
          <w:sz w:val="20"/>
        </w:rPr>
        <w:t>MWh</w:t>
      </w:r>
      <w:proofErr w:type="spellEnd"/>
      <w:r w:rsidRPr="005B2A17">
        <w:rPr>
          <w:rFonts w:ascii="Verdana" w:hAnsi="Verdana"/>
          <w:sz w:val="20"/>
        </w:rPr>
        <w:t>) -Precio. ($/</w:t>
      </w:r>
      <w:proofErr w:type="spellStart"/>
      <w:r w:rsidRPr="005B2A17">
        <w:rPr>
          <w:rFonts w:ascii="Verdana" w:hAnsi="Verdana"/>
          <w:sz w:val="20"/>
        </w:rPr>
        <w:t>MWh</w:t>
      </w:r>
      <w:proofErr w:type="spellEnd"/>
      <w:r w:rsidRPr="005B2A17">
        <w:rPr>
          <w:rFonts w:ascii="Verdana" w:hAnsi="Verdana"/>
          <w:sz w:val="20"/>
        </w:rPr>
        <w:t xml:space="preserve"> por hora) representando el precio mínimo que el Participante del Mercado está dispuesto a recibir por la energía vendida en el Mercado del Día en Adelanto.</w:t>
      </w:r>
    </w:p>
    <w:p w:rsidR="005B2A17" w:rsidRPr="005B2A17" w:rsidRDefault="005B2A17" w:rsidP="005B2A17">
      <w:pPr>
        <w:jc w:val="both"/>
        <w:rPr>
          <w:rFonts w:ascii="Verdana" w:hAnsi="Verdana"/>
          <w:sz w:val="20"/>
        </w:rPr>
      </w:pPr>
      <w:r w:rsidRPr="005B2A17">
        <w:rPr>
          <w:rFonts w:ascii="Verdana" w:hAnsi="Verdana"/>
          <w:b/>
          <w:bCs/>
          <w:sz w:val="20"/>
        </w:rPr>
        <w:t>6.4.2</w:t>
      </w:r>
      <w:r w:rsidRPr="005B2A17">
        <w:rPr>
          <w:rFonts w:ascii="Verdana" w:hAnsi="Verdana"/>
          <w:sz w:val="20"/>
        </w:rPr>
        <w:t xml:space="preserve">    Los Participantes del Mercado podrán presentar sus ofertas de importación en segmentos incrementales hasta por 3 segmentos. La oferta incremental de importación deberá tener una forma </w:t>
      </w:r>
      <w:proofErr w:type="spellStart"/>
      <w:r w:rsidRPr="005B2A17">
        <w:rPr>
          <w:rFonts w:ascii="Verdana" w:hAnsi="Verdana"/>
          <w:sz w:val="20"/>
        </w:rPr>
        <w:t>monotónicamente</w:t>
      </w:r>
      <w:proofErr w:type="spellEnd"/>
      <w:r w:rsidRPr="005B2A17">
        <w:rPr>
          <w:rFonts w:ascii="Verdana" w:hAnsi="Verdana"/>
          <w:sz w:val="20"/>
        </w:rPr>
        <w:t xml:space="preserve"> creciente, es decir, los puntos sucesivos deberán ser iguales o mayores en costo que el segmento previo e iguales o mayores en cantidad. En la siguiente imagen se muestra un ejemplo del formato de ofertas de importación de energía:</w:t>
      </w:r>
    </w:p>
    <w:p w:rsidR="005B2A17" w:rsidRPr="005B2A17" w:rsidRDefault="005B2A17" w:rsidP="005B2A17">
      <w:pPr>
        <w:jc w:val="both"/>
        <w:rPr>
          <w:rFonts w:ascii="Verdana" w:hAnsi="Verdana"/>
          <w:sz w:val="20"/>
        </w:rPr>
      </w:pPr>
      <w:r w:rsidRPr="005B2A17">
        <w:rPr>
          <w:rFonts w:ascii="Verdana" w:hAnsi="Verdana"/>
          <w:sz w:val="20"/>
        </w:rPr>
        <w:lastRenderedPageBreak/>
        <w:drawing>
          <wp:inline distT="0" distB="0" distL="0" distR="0">
            <wp:extent cx="4422140" cy="2190750"/>
            <wp:effectExtent l="0" t="0" r="0" b="0"/>
            <wp:docPr id="26" name="Imagen 26" descr="http://www.dof.gob.mx/imagenes_diarios/2017/12/11/MAT/sener11_Cimg_14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dof.gob.mx/imagenes_diarios/2017/12/11/MAT/sener11_Cimg_14408.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22140" cy="2190750"/>
                    </a:xfrm>
                    <a:prstGeom prst="rect">
                      <a:avLst/>
                    </a:prstGeom>
                    <a:noFill/>
                    <a:ln>
                      <a:noFill/>
                    </a:ln>
                  </pic:spPr>
                </pic:pic>
              </a:graphicData>
            </a:graphic>
          </wp:inline>
        </w:drawing>
      </w:r>
    </w:p>
    <w:p w:rsidR="005B2A17" w:rsidRPr="005B2A17" w:rsidRDefault="005B2A17" w:rsidP="005B2A17">
      <w:pPr>
        <w:jc w:val="both"/>
        <w:rPr>
          <w:rFonts w:ascii="Verdana" w:hAnsi="Verdana"/>
          <w:sz w:val="20"/>
        </w:rPr>
      </w:pPr>
      <w:r w:rsidRPr="005B2A17">
        <w:rPr>
          <w:rFonts w:ascii="Verdana" w:hAnsi="Verdana"/>
          <w:b/>
          <w:bCs/>
          <w:sz w:val="20"/>
        </w:rPr>
        <w:t>6.5</w:t>
      </w:r>
      <w:r w:rsidRPr="005B2A17">
        <w:rPr>
          <w:rFonts w:ascii="Verdana" w:hAnsi="Verdana"/>
          <w:sz w:val="20"/>
        </w:rPr>
        <w:t>      </w:t>
      </w:r>
      <w:r w:rsidRPr="005B2A17">
        <w:rPr>
          <w:rFonts w:ascii="Verdana" w:hAnsi="Verdana"/>
          <w:b/>
          <w:bCs/>
          <w:sz w:val="20"/>
        </w:rPr>
        <w:t>Estructura de oferta de exportación de Participantes del Mercado</w:t>
      </w:r>
    </w:p>
    <w:p w:rsidR="005B2A17" w:rsidRPr="005B2A17" w:rsidRDefault="005B2A17" w:rsidP="005B2A17">
      <w:pPr>
        <w:jc w:val="both"/>
        <w:rPr>
          <w:rFonts w:ascii="Verdana" w:hAnsi="Verdana"/>
          <w:sz w:val="20"/>
        </w:rPr>
      </w:pPr>
      <w:r w:rsidRPr="005B2A17">
        <w:rPr>
          <w:rFonts w:ascii="Verdana" w:hAnsi="Verdana"/>
          <w:b/>
          <w:bCs/>
          <w:sz w:val="20"/>
        </w:rPr>
        <w:t>6.5.1</w:t>
      </w:r>
      <w:r w:rsidRPr="005B2A17">
        <w:rPr>
          <w:rFonts w:ascii="Verdana" w:hAnsi="Verdana"/>
          <w:sz w:val="20"/>
        </w:rPr>
        <w:t>    Las ofertas para realizar transacciones de exportación deberán especificar la Cantidad (</w:t>
      </w:r>
      <w:proofErr w:type="spellStart"/>
      <w:r w:rsidRPr="005B2A17">
        <w:rPr>
          <w:rFonts w:ascii="Verdana" w:hAnsi="Verdana"/>
          <w:sz w:val="20"/>
        </w:rPr>
        <w:t>MWh</w:t>
      </w:r>
      <w:proofErr w:type="spellEnd"/>
      <w:r w:rsidRPr="005B2A17">
        <w:rPr>
          <w:rFonts w:ascii="Verdana" w:hAnsi="Verdana"/>
          <w:sz w:val="20"/>
        </w:rPr>
        <w:t>) -Precio. ($/</w:t>
      </w:r>
      <w:proofErr w:type="spellStart"/>
      <w:r w:rsidRPr="005B2A17">
        <w:rPr>
          <w:rFonts w:ascii="Verdana" w:hAnsi="Verdana"/>
          <w:sz w:val="20"/>
        </w:rPr>
        <w:t>MWh</w:t>
      </w:r>
      <w:proofErr w:type="spellEnd"/>
      <w:r w:rsidRPr="005B2A17">
        <w:rPr>
          <w:rFonts w:ascii="Verdana" w:hAnsi="Verdana"/>
          <w:sz w:val="20"/>
        </w:rPr>
        <w:t xml:space="preserve"> por hora) representando el precio máximo que el Participante del Mercado está dispuesto a pagar por la energía comprada en el Mercado del Día en Adelanto para su exportación.</w:t>
      </w:r>
    </w:p>
    <w:p w:rsidR="005B2A17" w:rsidRPr="005B2A17" w:rsidRDefault="005B2A17" w:rsidP="005B2A17">
      <w:pPr>
        <w:jc w:val="both"/>
        <w:rPr>
          <w:rFonts w:ascii="Verdana" w:hAnsi="Verdana"/>
          <w:sz w:val="20"/>
        </w:rPr>
      </w:pPr>
      <w:r w:rsidRPr="005B2A17">
        <w:rPr>
          <w:rFonts w:ascii="Verdana" w:hAnsi="Verdana"/>
          <w:b/>
          <w:bCs/>
          <w:sz w:val="20"/>
        </w:rPr>
        <w:t>6.5.2</w:t>
      </w:r>
      <w:r w:rsidRPr="005B2A17">
        <w:rPr>
          <w:rFonts w:ascii="Verdana" w:hAnsi="Verdana"/>
          <w:sz w:val="20"/>
        </w:rPr>
        <w:t>    Los Participantes del Mercado podrán presentar sus ofertas de exportación en segmentos decrecientes hasta por 3 segmentos. Es obligatorio que la oferta de exportación tenga una forma </w:t>
      </w:r>
      <w:proofErr w:type="spellStart"/>
      <w:r w:rsidRPr="005B2A17">
        <w:rPr>
          <w:rFonts w:ascii="Verdana" w:hAnsi="Verdana"/>
          <w:sz w:val="20"/>
        </w:rPr>
        <w:t>monotónicamente</w:t>
      </w:r>
      <w:proofErr w:type="spellEnd"/>
      <w:r w:rsidRPr="005B2A17">
        <w:rPr>
          <w:rFonts w:ascii="Verdana" w:hAnsi="Verdana"/>
          <w:sz w:val="20"/>
        </w:rPr>
        <w:t xml:space="preserve"> decreciente, es decir, que el precio del segmento 2 sea menor o igual que el precio del segmento 1 y el precio del segmento 3 sea menor o igual que el precio del segmento 2. En la siguiente imagen se muestra un ejemplo del formato de ofertas de importación de energía:</w:t>
      </w:r>
    </w:p>
    <w:p w:rsidR="005B2A17" w:rsidRPr="005B2A17" w:rsidRDefault="005B2A17" w:rsidP="005B2A17">
      <w:pPr>
        <w:jc w:val="both"/>
        <w:rPr>
          <w:rFonts w:ascii="Verdana" w:hAnsi="Verdana"/>
          <w:sz w:val="20"/>
        </w:rPr>
      </w:pPr>
      <w:r w:rsidRPr="005B2A17">
        <w:rPr>
          <w:rFonts w:ascii="Verdana" w:hAnsi="Verdana"/>
          <w:sz w:val="20"/>
        </w:rPr>
        <w:drawing>
          <wp:inline distT="0" distB="0" distL="0" distR="0">
            <wp:extent cx="4422140" cy="1555750"/>
            <wp:effectExtent l="0" t="0" r="0" b="6350"/>
            <wp:docPr id="25" name="Imagen 25" descr="http://www.dof.gob.mx/imagenes_diarios/2017/12/11/MAT/sener11_Cimg_978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dof.gob.mx/imagenes_diarios/2017/12/11/MAT/sener11_Cimg_9789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22140" cy="1555750"/>
                    </a:xfrm>
                    <a:prstGeom prst="rect">
                      <a:avLst/>
                    </a:prstGeom>
                    <a:noFill/>
                    <a:ln>
                      <a:noFill/>
                    </a:ln>
                  </pic:spPr>
                </pic:pic>
              </a:graphicData>
            </a:graphic>
          </wp:inline>
        </w:drawing>
      </w:r>
    </w:p>
    <w:p w:rsidR="005B2A17" w:rsidRPr="005B2A17" w:rsidRDefault="005B2A17" w:rsidP="005B2A17">
      <w:pPr>
        <w:jc w:val="both"/>
        <w:rPr>
          <w:rFonts w:ascii="Verdana" w:hAnsi="Verdana"/>
          <w:sz w:val="20"/>
        </w:rPr>
      </w:pPr>
      <w:r w:rsidRPr="005B2A17">
        <w:rPr>
          <w:rFonts w:ascii="Verdana" w:hAnsi="Verdana"/>
          <w:sz w:val="20"/>
        </w:rPr>
        <w:t> </w:t>
      </w:r>
    </w:p>
    <w:p w:rsidR="005B2A17" w:rsidRPr="005B2A17" w:rsidRDefault="005B2A17" w:rsidP="005B2A17">
      <w:pPr>
        <w:jc w:val="both"/>
        <w:rPr>
          <w:rFonts w:ascii="Verdana" w:hAnsi="Verdana"/>
          <w:sz w:val="20"/>
        </w:rPr>
      </w:pPr>
      <w:r w:rsidRPr="005B2A17">
        <w:rPr>
          <w:rFonts w:ascii="Verdana" w:hAnsi="Verdana"/>
          <w:b/>
          <w:bCs/>
          <w:sz w:val="20"/>
        </w:rPr>
        <w:t>6.5.3</w:t>
      </w:r>
      <w:r w:rsidRPr="005B2A17">
        <w:rPr>
          <w:rFonts w:ascii="Verdana" w:hAnsi="Verdana"/>
          <w:sz w:val="20"/>
        </w:rPr>
        <w:t>    Las ofertas que tengan cantidades en exceso de la Capacidad Absoluta de Transferencia Disponible serán truncadas automáticamente en dicha capacidad.</w:t>
      </w:r>
    </w:p>
    <w:p w:rsidR="005B2A17" w:rsidRPr="005B2A17" w:rsidRDefault="005B2A17" w:rsidP="005B2A17">
      <w:pPr>
        <w:jc w:val="both"/>
        <w:rPr>
          <w:rFonts w:ascii="Verdana" w:hAnsi="Verdana"/>
          <w:sz w:val="20"/>
        </w:rPr>
      </w:pPr>
      <w:r w:rsidRPr="005B2A17">
        <w:rPr>
          <w:rFonts w:ascii="Verdana" w:hAnsi="Verdana"/>
          <w:b/>
          <w:bCs/>
          <w:sz w:val="20"/>
        </w:rPr>
        <w:t>6.5.4</w:t>
      </w:r>
      <w:r w:rsidRPr="005B2A17">
        <w:rPr>
          <w:rFonts w:ascii="Verdana" w:hAnsi="Verdana"/>
          <w:sz w:val="20"/>
        </w:rPr>
        <w:t xml:space="preserve">    Se destaca que la legislación vigente en el estado de California impone obligaciones a las personas que exporten energía a dicho estado, para obtener certificados asociados con los gases de efecto invernadero. Esas obligaciones serán responsabilidad del Participante de Mercado o del otro ente con el que dicho participante acuerde, por lo cual es responsabilidad del Participante de Mercado </w:t>
      </w:r>
      <w:r w:rsidRPr="005B2A17">
        <w:rPr>
          <w:rFonts w:ascii="Verdana" w:hAnsi="Verdana"/>
          <w:sz w:val="20"/>
        </w:rPr>
        <w:lastRenderedPageBreak/>
        <w:t>asegurar que los costos de dichos certificados se reflejen en sus ofertas de compra para exportación.</w:t>
      </w:r>
    </w:p>
    <w:p w:rsidR="005B2A17" w:rsidRPr="005B2A17" w:rsidRDefault="005B2A17" w:rsidP="005B2A17">
      <w:pPr>
        <w:jc w:val="both"/>
        <w:rPr>
          <w:rFonts w:ascii="Verdana" w:hAnsi="Verdana"/>
          <w:sz w:val="20"/>
        </w:rPr>
      </w:pPr>
      <w:r w:rsidRPr="005B2A17">
        <w:rPr>
          <w:rFonts w:ascii="Verdana" w:hAnsi="Verdana"/>
          <w:b/>
          <w:bCs/>
          <w:sz w:val="20"/>
        </w:rPr>
        <w:t>6.6</w:t>
      </w:r>
      <w:r w:rsidRPr="005B2A17">
        <w:rPr>
          <w:rFonts w:ascii="Verdana" w:hAnsi="Verdana"/>
          <w:sz w:val="20"/>
        </w:rPr>
        <w:t>      </w:t>
      </w:r>
      <w:r w:rsidRPr="005B2A17">
        <w:rPr>
          <w:rFonts w:ascii="Verdana" w:hAnsi="Verdana"/>
          <w:b/>
          <w:bCs/>
          <w:sz w:val="20"/>
        </w:rPr>
        <w:t>Programación de importación y exportación por el Generador de Intermediación</w:t>
      </w:r>
    </w:p>
    <w:p w:rsidR="005B2A17" w:rsidRPr="005B2A17" w:rsidRDefault="005B2A17" w:rsidP="005B2A17">
      <w:pPr>
        <w:jc w:val="both"/>
        <w:rPr>
          <w:rFonts w:ascii="Verdana" w:hAnsi="Verdana"/>
          <w:sz w:val="20"/>
        </w:rPr>
      </w:pPr>
      <w:r w:rsidRPr="005B2A17">
        <w:rPr>
          <w:rFonts w:ascii="Verdana" w:hAnsi="Verdana"/>
          <w:b/>
          <w:bCs/>
          <w:sz w:val="20"/>
        </w:rPr>
        <w:t>6.6.1</w:t>
      </w:r>
      <w:r w:rsidRPr="005B2A17">
        <w:rPr>
          <w:rFonts w:ascii="Verdana" w:hAnsi="Verdana"/>
          <w:sz w:val="20"/>
        </w:rPr>
        <w:t>    El Generador de Intermediación presentará al CENACE los programas solicitados como cantidades fijas (sin precio) para la importación y exportación que realice en representación de los titulares de los Contratos de Interconexión Legados.</w:t>
      </w:r>
    </w:p>
    <w:p w:rsidR="005B2A17" w:rsidRPr="005B2A17" w:rsidRDefault="005B2A17" w:rsidP="005B2A17">
      <w:pPr>
        <w:jc w:val="both"/>
        <w:rPr>
          <w:rFonts w:ascii="Verdana" w:hAnsi="Verdana"/>
          <w:sz w:val="20"/>
        </w:rPr>
      </w:pPr>
      <w:r w:rsidRPr="005B2A17">
        <w:rPr>
          <w:rFonts w:ascii="Verdana" w:hAnsi="Verdana"/>
          <w:b/>
          <w:bCs/>
          <w:sz w:val="20"/>
        </w:rPr>
        <w:t>6.6.2</w:t>
      </w:r>
      <w:r w:rsidRPr="005B2A17">
        <w:rPr>
          <w:rFonts w:ascii="Verdana" w:hAnsi="Verdana"/>
          <w:sz w:val="20"/>
        </w:rPr>
        <w:t>    Los programas solicitados de importación y exportación del Generador de Intermediación se elaborarán con base en los programas presentados por los titulares de los Contratos de Interconexión Legados respecto de las Unidades de Central Eléctrica o de los Centros de Carga que se incluyen en sus contratos.</w:t>
      </w:r>
    </w:p>
    <w:p w:rsidR="005B2A17" w:rsidRPr="005B2A17" w:rsidRDefault="005B2A17" w:rsidP="005B2A17">
      <w:pPr>
        <w:jc w:val="both"/>
        <w:rPr>
          <w:rFonts w:ascii="Verdana" w:hAnsi="Verdana"/>
          <w:sz w:val="20"/>
        </w:rPr>
      </w:pPr>
      <w:r w:rsidRPr="005B2A17">
        <w:rPr>
          <w:rFonts w:ascii="Verdana" w:hAnsi="Verdana"/>
          <w:b/>
          <w:bCs/>
          <w:sz w:val="20"/>
        </w:rPr>
        <w:t>6.6.3</w:t>
      </w:r>
      <w:r w:rsidRPr="005B2A17">
        <w:rPr>
          <w:rFonts w:ascii="Verdana" w:hAnsi="Verdana"/>
          <w:sz w:val="20"/>
        </w:rPr>
        <w:t>    El Generador de Intermediación sólo podrá ofrecer la importación o exportación de energía eléctrica asociada a los Contratos de Interconexión Legados de Importación o Exportación.</w:t>
      </w:r>
    </w:p>
    <w:p w:rsidR="005B2A17" w:rsidRPr="005B2A17" w:rsidRDefault="005B2A17" w:rsidP="005B2A17">
      <w:pPr>
        <w:jc w:val="both"/>
        <w:rPr>
          <w:rFonts w:ascii="Verdana" w:hAnsi="Verdana"/>
          <w:sz w:val="20"/>
        </w:rPr>
      </w:pPr>
      <w:r w:rsidRPr="005B2A17">
        <w:rPr>
          <w:rFonts w:ascii="Verdana" w:hAnsi="Verdana"/>
          <w:b/>
          <w:bCs/>
          <w:sz w:val="20"/>
        </w:rPr>
        <w:t>6.6.4</w:t>
      </w:r>
      <w:r w:rsidRPr="005B2A17">
        <w:rPr>
          <w:rFonts w:ascii="Verdana" w:hAnsi="Verdana"/>
          <w:sz w:val="20"/>
        </w:rPr>
        <w:t>    Los programas de importación y exportación que se asignen al Generador de Intermediación se establecerán con base en los resultados del Mercado del Día en Adelanto, en términos de los numerales 6.7 y 6.8 de este manual.</w:t>
      </w:r>
    </w:p>
    <w:p w:rsidR="005B2A17" w:rsidRPr="005B2A17" w:rsidRDefault="005B2A17" w:rsidP="005B2A17">
      <w:pPr>
        <w:jc w:val="both"/>
        <w:rPr>
          <w:rFonts w:ascii="Verdana" w:hAnsi="Verdana"/>
          <w:sz w:val="20"/>
        </w:rPr>
      </w:pPr>
      <w:r w:rsidRPr="005B2A17">
        <w:rPr>
          <w:rFonts w:ascii="Verdana" w:hAnsi="Verdana"/>
          <w:b/>
          <w:bCs/>
          <w:sz w:val="20"/>
        </w:rPr>
        <w:t>6.6.5</w:t>
      </w:r>
      <w:r w:rsidRPr="005B2A17">
        <w:rPr>
          <w:rFonts w:ascii="Verdana" w:hAnsi="Verdana"/>
          <w:sz w:val="20"/>
        </w:rPr>
        <w:t>    El CENACE solamente le asignará programas de importación y exportación al Generador de Intermediación si recibió los programas solicitados correspondientes con anterioridad al cierre del Mercado del Día en Adelanto y dentro de los horarios establecidos en el Manual de Mercado de Corto Plazo.</w:t>
      </w:r>
    </w:p>
    <w:p w:rsidR="005B2A17" w:rsidRPr="005B2A17" w:rsidRDefault="005B2A17" w:rsidP="005B2A17">
      <w:pPr>
        <w:jc w:val="both"/>
        <w:rPr>
          <w:rFonts w:ascii="Verdana" w:hAnsi="Verdana"/>
          <w:sz w:val="20"/>
        </w:rPr>
      </w:pPr>
      <w:r w:rsidRPr="005B2A17">
        <w:rPr>
          <w:rFonts w:ascii="Verdana" w:hAnsi="Verdana"/>
          <w:b/>
          <w:bCs/>
          <w:sz w:val="20"/>
        </w:rPr>
        <w:t>6.6.6</w:t>
      </w:r>
      <w:r w:rsidRPr="005B2A17">
        <w:rPr>
          <w:rFonts w:ascii="Verdana" w:hAnsi="Verdana"/>
          <w:sz w:val="20"/>
        </w:rPr>
        <w:t>    El Generador de Intermediación deberá presentar los programas solicitados de importación y exportación con valores enteros (incrementos de 1 MW), por lo que los valores fraccionados serán rechazados.</w:t>
      </w:r>
    </w:p>
    <w:p w:rsidR="005B2A17" w:rsidRPr="005B2A17" w:rsidRDefault="005B2A17" w:rsidP="005B2A17">
      <w:pPr>
        <w:jc w:val="both"/>
        <w:rPr>
          <w:rFonts w:ascii="Verdana" w:hAnsi="Verdana"/>
          <w:sz w:val="20"/>
        </w:rPr>
      </w:pPr>
      <w:r w:rsidRPr="005B2A17">
        <w:rPr>
          <w:rFonts w:ascii="Verdana" w:hAnsi="Verdana"/>
          <w:b/>
          <w:bCs/>
          <w:sz w:val="20"/>
        </w:rPr>
        <w:t>6.6.7</w:t>
      </w:r>
      <w:r w:rsidRPr="005B2A17">
        <w:rPr>
          <w:rFonts w:ascii="Verdana" w:hAnsi="Verdana"/>
          <w:sz w:val="20"/>
        </w:rPr>
        <w:t>    El Generador de Intermediación deberá presentar las ofertas de importación y exportación con horas completas y no podrá programar transacciones de estatus "no firme" cuando la denominación "no firme" tiene como efecto de aumentar las obligaciones de reservas operativas del importador o reducir las obligaciones de reservas operativas del exportador. Sin perjuicio de lo anterior, los programas implementados deberán respetar las rampas entre horas, en los términos acordados en los convenios suscritos por el CENACE y el operador del sistema en el extranjero, y en todo momento se podrán reducir o modificar por el CENACE cuando se requiera para emergencia o confiabilidad del Sistema Eléctrico Nacional.</w:t>
      </w:r>
    </w:p>
    <w:p w:rsidR="005B2A17" w:rsidRPr="005B2A17" w:rsidRDefault="005B2A17" w:rsidP="005B2A17">
      <w:pPr>
        <w:jc w:val="both"/>
        <w:rPr>
          <w:rFonts w:ascii="Verdana" w:hAnsi="Verdana"/>
          <w:sz w:val="20"/>
        </w:rPr>
      </w:pPr>
      <w:r w:rsidRPr="005B2A17">
        <w:rPr>
          <w:rFonts w:ascii="Verdana" w:hAnsi="Verdana"/>
          <w:b/>
          <w:bCs/>
          <w:sz w:val="20"/>
        </w:rPr>
        <w:t>6.6.8</w:t>
      </w:r>
      <w:r w:rsidRPr="005B2A17">
        <w:rPr>
          <w:rFonts w:ascii="Verdana" w:hAnsi="Verdana"/>
          <w:sz w:val="20"/>
        </w:rPr>
        <w:t>    El Generador de Intermediación presentará los programas solicitados de importación de energía eléctrica, indicando el Punto de Entrega.</w:t>
      </w:r>
    </w:p>
    <w:p w:rsidR="005B2A17" w:rsidRPr="005B2A17" w:rsidRDefault="005B2A17" w:rsidP="005B2A17">
      <w:pPr>
        <w:jc w:val="both"/>
        <w:rPr>
          <w:rFonts w:ascii="Verdana" w:hAnsi="Verdana"/>
          <w:sz w:val="20"/>
        </w:rPr>
      </w:pPr>
      <w:r w:rsidRPr="005B2A17">
        <w:rPr>
          <w:rFonts w:ascii="Verdana" w:hAnsi="Verdana"/>
          <w:b/>
          <w:bCs/>
          <w:sz w:val="20"/>
        </w:rPr>
        <w:t>6.6.9</w:t>
      </w:r>
      <w:r w:rsidRPr="005B2A17">
        <w:rPr>
          <w:rFonts w:ascii="Verdana" w:hAnsi="Verdana"/>
          <w:sz w:val="20"/>
        </w:rPr>
        <w:t xml:space="preserve">    En el Mercado del Día en Adelanto, el Generador de Intermediación programará la operación de los Centros de Carga que representa, aun y cuando estos están asociados con la importación. Las cantidades programadas en el Mercado del Día en Adelanto deben ser iguales a las cantidades presentados por los titulares de </w:t>
      </w:r>
      <w:r w:rsidRPr="005B2A17">
        <w:rPr>
          <w:rFonts w:ascii="Verdana" w:hAnsi="Verdana"/>
          <w:sz w:val="20"/>
        </w:rPr>
        <w:lastRenderedPageBreak/>
        <w:t>Contratos de Interconexión Legados. En caso de no contar con ellos a la hora de cierre de ofertas para dicho mercado, el Generador de Intermediación podrá usar valores estimados.</w:t>
      </w:r>
    </w:p>
    <w:p w:rsidR="005B2A17" w:rsidRPr="005B2A17" w:rsidRDefault="005B2A17" w:rsidP="005B2A17">
      <w:pPr>
        <w:jc w:val="both"/>
        <w:rPr>
          <w:rFonts w:ascii="Verdana" w:hAnsi="Verdana"/>
          <w:sz w:val="20"/>
        </w:rPr>
      </w:pPr>
      <w:r w:rsidRPr="005B2A17">
        <w:rPr>
          <w:rFonts w:ascii="Verdana" w:hAnsi="Verdana"/>
          <w:b/>
          <w:bCs/>
          <w:sz w:val="20"/>
        </w:rPr>
        <w:t>6.6.10</w:t>
      </w:r>
      <w:r w:rsidRPr="005B2A17">
        <w:rPr>
          <w:rFonts w:ascii="Verdana" w:hAnsi="Verdana"/>
          <w:sz w:val="20"/>
        </w:rPr>
        <w:t>  El Generador de Intermediación presentará los programas solicitados de exportación de energía eléctrica, indicando el Punto de Recepción.</w:t>
      </w:r>
    </w:p>
    <w:p w:rsidR="005B2A17" w:rsidRPr="005B2A17" w:rsidRDefault="005B2A17" w:rsidP="005B2A17">
      <w:pPr>
        <w:jc w:val="both"/>
        <w:rPr>
          <w:rFonts w:ascii="Verdana" w:hAnsi="Verdana"/>
          <w:sz w:val="20"/>
        </w:rPr>
      </w:pPr>
      <w:r w:rsidRPr="005B2A17">
        <w:rPr>
          <w:rFonts w:ascii="Verdana" w:hAnsi="Verdana"/>
          <w:b/>
          <w:bCs/>
          <w:sz w:val="20"/>
        </w:rPr>
        <w:t>6.6.11</w:t>
      </w:r>
      <w:r w:rsidRPr="005B2A17">
        <w:rPr>
          <w:rFonts w:ascii="Verdana" w:hAnsi="Verdana"/>
          <w:sz w:val="20"/>
        </w:rPr>
        <w:t>  En el Mercado de Tiempo Real, el Generador de Intermediación programará la operación de las Unidades de Central Eléctrica, con las cantidades que le fueran aceptadas para la exportación. En el Mercado del Día en adelanto, el Generador de Intermediación podrá programar la operación estimada de las Unidades de Central Eléctrica a fin de obtener mejores precios y apoyar la confiabilidad del Sistema Eléctrico. En todo caso, el Generador de Intermediación ajustará su programa de Tiempo Real para corresponder a las cantidades aceptadas para exportación, y tendrá la responsabilidad financiera para la diferencia entre las cantidades programadas en el Mercado del Día en Adelanto y las cantidades programadas en el Mercado de Tiempo Real.</w:t>
      </w:r>
    </w:p>
    <w:p w:rsidR="005B2A17" w:rsidRPr="005B2A17" w:rsidRDefault="005B2A17" w:rsidP="005B2A17">
      <w:pPr>
        <w:jc w:val="both"/>
        <w:rPr>
          <w:rFonts w:ascii="Verdana" w:hAnsi="Verdana"/>
          <w:sz w:val="20"/>
        </w:rPr>
      </w:pPr>
      <w:r w:rsidRPr="005B2A17">
        <w:rPr>
          <w:rFonts w:ascii="Verdana" w:hAnsi="Verdana"/>
          <w:sz w:val="20"/>
        </w:rPr>
        <w:t> </w:t>
      </w:r>
    </w:p>
    <w:p w:rsidR="005B2A17" w:rsidRPr="005B2A17" w:rsidRDefault="005B2A17" w:rsidP="005B2A17">
      <w:pPr>
        <w:jc w:val="both"/>
        <w:rPr>
          <w:rFonts w:ascii="Verdana" w:hAnsi="Verdana"/>
          <w:sz w:val="20"/>
        </w:rPr>
      </w:pPr>
      <w:r w:rsidRPr="005B2A17">
        <w:rPr>
          <w:rFonts w:ascii="Verdana" w:hAnsi="Verdana"/>
          <w:b/>
          <w:bCs/>
          <w:sz w:val="20"/>
        </w:rPr>
        <w:t>6.6.12</w:t>
      </w:r>
      <w:r w:rsidRPr="005B2A17">
        <w:rPr>
          <w:rFonts w:ascii="Verdana" w:hAnsi="Verdana"/>
          <w:sz w:val="20"/>
        </w:rPr>
        <w:t>  En caso de que se reduzca la disponibilidad de la Central Eléctrica asociada a la Exportación, el CENACE ajustará los programas de exportación en Tiempo Real a través de la Etiqueta Electrónica. Asimismo, el CENACE podrá ordenar desconectar Unidades de Central Eléctrica asociada a la Exportación cuando se requiera para mantener la confiabilidad y seguridad del Sistema Eléctrico Nacional.</w:t>
      </w:r>
    </w:p>
    <w:p w:rsidR="005B2A17" w:rsidRPr="005B2A17" w:rsidRDefault="005B2A17" w:rsidP="005B2A17">
      <w:pPr>
        <w:jc w:val="both"/>
        <w:rPr>
          <w:rFonts w:ascii="Verdana" w:hAnsi="Verdana"/>
          <w:sz w:val="20"/>
        </w:rPr>
      </w:pPr>
      <w:r w:rsidRPr="005B2A17">
        <w:rPr>
          <w:rFonts w:ascii="Verdana" w:hAnsi="Verdana"/>
          <w:b/>
          <w:bCs/>
          <w:sz w:val="20"/>
        </w:rPr>
        <w:t>6.7</w:t>
      </w:r>
      <w:r w:rsidRPr="005B2A17">
        <w:rPr>
          <w:rFonts w:ascii="Verdana" w:hAnsi="Verdana"/>
          <w:sz w:val="20"/>
        </w:rPr>
        <w:t>      </w:t>
      </w:r>
      <w:r w:rsidRPr="005B2A17">
        <w:rPr>
          <w:rFonts w:ascii="Verdana" w:hAnsi="Verdana"/>
          <w:b/>
          <w:bCs/>
          <w:sz w:val="20"/>
        </w:rPr>
        <w:t>Estructura de programa de importación del Generador de Intermediación</w:t>
      </w:r>
    </w:p>
    <w:p w:rsidR="005B2A17" w:rsidRPr="005B2A17" w:rsidRDefault="005B2A17" w:rsidP="005B2A17">
      <w:pPr>
        <w:jc w:val="both"/>
        <w:rPr>
          <w:rFonts w:ascii="Verdana" w:hAnsi="Verdana"/>
          <w:sz w:val="20"/>
        </w:rPr>
      </w:pPr>
      <w:r w:rsidRPr="005B2A17">
        <w:rPr>
          <w:rFonts w:ascii="Verdana" w:hAnsi="Verdana"/>
          <w:b/>
          <w:bCs/>
          <w:sz w:val="20"/>
        </w:rPr>
        <w:t>6.7.1</w:t>
      </w:r>
      <w:r w:rsidRPr="005B2A17">
        <w:rPr>
          <w:rFonts w:ascii="Verdana" w:hAnsi="Verdana"/>
          <w:sz w:val="20"/>
        </w:rPr>
        <w:t>   Para la importación de energía eléctrica, el Generador de Intermediación presentará programas solicitados con cantidad fija (sin precio) de importación.</w:t>
      </w:r>
    </w:p>
    <w:p w:rsidR="005B2A17" w:rsidRPr="005B2A17" w:rsidRDefault="005B2A17" w:rsidP="005B2A17">
      <w:pPr>
        <w:jc w:val="both"/>
        <w:rPr>
          <w:rFonts w:ascii="Verdana" w:hAnsi="Verdana"/>
          <w:sz w:val="20"/>
        </w:rPr>
      </w:pPr>
      <w:r w:rsidRPr="005B2A17">
        <w:rPr>
          <w:rFonts w:ascii="Verdana" w:hAnsi="Verdana"/>
          <w:b/>
          <w:bCs/>
          <w:sz w:val="20"/>
        </w:rPr>
        <w:t>6.7.2</w:t>
      </w:r>
      <w:r w:rsidRPr="005B2A17">
        <w:rPr>
          <w:rFonts w:ascii="Verdana" w:hAnsi="Verdana"/>
          <w:sz w:val="20"/>
        </w:rPr>
        <w:t>   Los programas solicitados de importación presentadas por el Generador de Intermediación no se considerarán dentro del Mercado del Día en Adelanto, sino que se evaluarán inmediatamente después de la conclusión de dicho mercado.</w:t>
      </w:r>
    </w:p>
    <w:p w:rsidR="005B2A17" w:rsidRPr="005B2A17" w:rsidRDefault="005B2A17" w:rsidP="005B2A17">
      <w:pPr>
        <w:jc w:val="both"/>
        <w:rPr>
          <w:rFonts w:ascii="Verdana" w:hAnsi="Verdana"/>
          <w:sz w:val="20"/>
        </w:rPr>
      </w:pPr>
      <w:r w:rsidRPr="005B2A17">
        <w:rPr>
          <w:rFonts w:ascii="Verdana" w:hAnsi="Verdana"/>
          <w:b/>
          <w:bCs/>
          <w:sz w:val="20"/>
        </w:rPr>
        <w:t>6.7.3</w:t>
      </w:r>
      <w:r w:rsidRPr="005B2A17">
        <w:rPr>
          <w:rFonts w:ascii="Verdana" w:hAnsi="Verdana"/>
          <w:sz w:val="20"/>
        </w:rPr>
        <w:t>   El CENACE asignará el programa de importación y permitirá la implementación de la Etiqueta Electrónica correspondiente o su equivalente, sólo cuando se cumplan las siguientes dos condiciones:</w:t>
      </w:r>
    </w:p>
    <w:p w:rsidR="005B2A17" w:rsidRPr="005B2A17" w:rsidRDefault="005B2A17" w:rsidP="005B2A17">
      <w:pPr>
        <w:jc w:val="both"/>
        <w:rPr>
          <w:rFonts w:ascii="Verdana" w:hAnsi="Verdana"/>
          <w:sz w:val="20"/>
        </w:rPr>
      </w:pPr>
      <w:r w:rsidRPr="005B2A17">
        <w:rPr>
          <w:rFonts w:ascii="Verdana" w:hAnsi="Verdana"/>
          <w:sz w:val="20"/>
        </w:rPr>
        <w:t>(a)  exista capacidad de importación en el Enlace de Interconexión correspondiente que no se requirió por las ofertas del Mercado Eléctrico Mayorista; y,</w:t>
      </w:r>
    </w:p>
    <w:p w:rsidR="005B2A17" w:rsidRPr="005B2A17" w:rsidRDefault="005B2A17" w:rsidP="005B2A17">
      <w:pPr>
        <w:jc w:val="both"/>
        <w:rPr>
          <w:rFonts w:ascii="Verdana" w:hAnsi="Verdana"/>
          <w:sz w:val="20"/>
        </w:rPr>
      </w:pPr>
      <w:r w:rsidRPr="005B2A17">
        <w:rPr>
          <w:rFonts w:ascii="Verdana" w:hAnsi="Verdana"/>
          <w:sz w:val="20"/>
        </w:rPr>
        <w:t>(b)  exista capacidad de transmisión adecuada para transportar energía desde el Punto de Entrega para importación al punto de carga incluido en el Contrato de Interconexión Legado. Para tal efecto:</w:t>
      </w:r>
    </w:p>
    <w:p w:rsidR="005B2A17" w:rsidRPr="005B2A17" w:rsidRDefault="005B2A17" w:rsidP="005B2A17">
      <w:pPr>
        <w:jc w:val="both"/>
        <w:rPr>
          <w:rFonts w:ascii="Verdana" w:hAnsi="Verdana"/>
          <w:sz w:val="20"/>
        </w:rPr>
      </w:pPr>
      <w:r w:rsidRPr="005B2A17">
        <w:rPr>
          <w:rFonts w:ascii="Verdana" w:hAnsi="Verdana"/>
          <w:sz w:val="20"/>
        </w:rPr>
        <w:lastRenderedPageBreak/>
        <w:t>(i)   Cuando sea aplicable un Contrato de Interconexión Legado que estuviera vigente a la fecha de entrada en vigor de la Ley, se aplicarán los criterios incluidos en dicho contrato.</w:t>
      </w:r>
    </w:p>
    <w:p w:rsidR="005B2A17" w:rsidRPr="005B2A17" w:rsidRDefault="005B2A17" w:rsidP="005B2A17">
      <w:pPr>
        <w:jc w:val="both"/>
        <w:rPr>
          <w:rFonts w:ascii="Verdana" w:hAnsi="Verdana"/>
          <w:sz w:val="20"/>
        </w:rPr>
      </w:pPr>
      <w:r w:rsidRPr="005B2A17">
        <w:rPr>
          <w:rFonts w:ascii="Verdana" w:hAnsi="Verdana"/>
          <w:sz w:val="20"/>
        </w:rPr>
        <w:t>(ii)   Cuando no sea aplicable ningún Contrato de Interconexión Legado que estuviera vigente a la fecha de entrada en vigor de la Ley, el criterio para determinar la disponibilidad de transporte al punto de carga considerará que sólo existe capacidad de transmisión disponible cuando el Precio Marginal Local del Mercado del Día en Adelanto haya sido menor en el nodo del punto de carga que en el nodo del Punto de Entrega </w:t>
      </w:r>
      <w:proofErr w:type="spellStart"/>
      <w:r w:rsidRPr="005B2A17">
        <w:rPr>
          <w:rFonts w:ascii="Verdana" w:hAnsi="Verdana"/>
          <w:sz w:val="20"/>
        </w:rPr>
        <w:t>paraImportación</w:t>
      </w:r>
      <w:proofErr w:type="spellEnd"/>
      <w:r w:rsidRPr="005B2A17">
        <w:rPr>
          <w:rFonts w:ascii="Verdana" w:hAnsi="Verdana"/>
          <w:sz w:val="20"/>
        </w:rPr>
        <w:t>.</w:t>
      </w:r>
    </w:p>
    <w:p w:rsidR="005B2A17" w:rsidRPr="005B2A17" w:rsidRDefault="005B2A17" w:rsidP="005B2A17">
      <w:pPr>
        <w:jc w:val="both"/>
        <w:rPr>
          <w:rFonts w:ascii="Verdana" w:hAnsi="Verdana"/>
          <w:sz w:val="20"/>
        </w:rPr>
      </w:pPr>
      <w:r w:rsidRPr="005B2A17">
        <w:rPr>
          <w:rFonts w:ascii="Verdana" w:hAnsi="Verdana"/>
          <w:b/>
          <w:bCs/>
          <w:sz w:val="20"/>
        </w:rPr>
        <w:t>6.7.4</w:t>
      </w:r>
      <w:r w:rsidRPr="005B2A17">
        <w:rPr>
          <w:rFonts w:ascii="Verdana" w:hAnsi="Verdana"/>
          <w:sz w:val="20"/>
        </w:rPr>
        <w:t>   A continuación, se presenta un ejemplo de un programa solicitado de importación presentada por el Generador de Intermediación:</w:t>
      </w:r>
    </w:p>
    <w:p w:rsidR="005B2A17" w:rsidRPr="005B2A17" w:rsidRDefault="005B2A17" w:rsidP="005B2A17">
      <w:pPr>
        <w:jc w:val="both"/>
        <w:rPr>
          <w:rFonts w:ascii="Verdana" w:hAnsi="Verdana"/>
          <w:sz w:val="20"/>
        </w:rPr>
      </w:pPr>
      <w:r w:rsidRPr="005B2A17">
        <w:rPr>
          <w:rFonts w:ascii="Verdana" w:hAnsi="Verdana"/>
          <w:sz w:val="20"/>
        </w:rPr>
        <w:t>          Programa solicitado en el punto de entrega:</w:t>
      </w:r>
    </w:p>
    <w:p w:rsidR="005B2A17" w:rsidRPr="005B2A17" w:rsidRDefault="005B2A17" w:rsidP="005B2A17">
      <w:pPr>
        <w:jc w:val="both"/>
        <w:rPr>
          <w:rFonts w:ascii="Verdana" w:hAnsi="Verdana"/>
          <w:sz w:val="20"/>
        </w:rPr>
      </w:pPr>
      <w:r w:rsidRPr="005B2A17">
        <w:rPr>
          <w:rFonts w:ascii="Verdana" w:hAnsi="Verdana"/>
          <w:sz w:val="20"/>
        </w:rPr>
        <w:drawing>
          <wp:inline distT="0" distB="0" distL="0" distR="0">
            <wp:extent cx="5404485" cy="1085215"/>
            <wp:effectExtent l="0" t="0" r="5715" b="635"/>
            <wp:docPr id="24" name="Imagen 24" descr="http://www.dof.gob.mx/imagenes_diarios/2017/12/11/MAT/sener11_Cimg_138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dof.gob.mx/imagenes_diarios/2017/12/11/MAT/sener11_Cimg_13810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4485" cy="1085215"/>
                    </a:xfrm>
                    <a:prstGeom prst="rect">
                      <a:avLst/>
                    </a:prstGeom>
                    <a:noFill/>
                    <a:ln>
                      <a:noFill/>
                    </a:ln>
                  </pic:spPr>
                </pic:pic>
              </a:graphicData>
            </a:graphic>
          </wp:inline>
        </w:drawing>
      </w:r>
    </w:p>
    <w:p w:rsidR="005B2A17" w:rsidRPr="005B2A17" w:rsidRDefault="005B2A17" w:rsidP="005B2A17">
      <w:pPr>
        <w:jc w:val="both"/>
        <w:rPr>
          <w:rFonts w:ascii="Verdana" w:hAnsi="Verdana"/>
          <w:sz w:val="20"/>
        </w:rPr>
      </w:pPr>
      <w:r w:rsidRPr="005B2A17">
        <w:rPr>
          <w:rFonts w:ascii="Verdana" w:hAnsi="Verdana"/>
          <w:sz w:val="20"/>
        </w:rPr>
        <w:t>   Cada identificador de un punto de recepción tiene relacionado en las bases de datos del CENACE a un titular de Contrato de Interconexión Legado y a un enlace de interconexión.</w:t>
      </w:r>
    </w:p>
    <w:p w:rsidR="005B2A17" w:rsidRPr="005B2A17" w:rsidRDefault="005B2A17" w:rsidP="005B2A17">
      <w:pPr>
        <w:jc w:val="both"/>
        <w:rPr>
          <w:rFonts w:ascii="Verdana" w:hAnsi="Verdana"/>
          <w:sz w:val="20"/>
        </w:rPr>
      </w:pPr>
      <w:r w:rsidRPr="005B2A17">
        <w:rPr>
          <w:rFonts w:ascii="Verdana" w:hAnsi="Verdana"/>
          <w:sz w:val="20"/>
        </w:rPr>
        <w:t>          Programa de consumo asociado a la importación de energía:</w:t>
      </w:r>
    </w:p>
    <w:p w:rsidR="005B2A17" w:rsidRPr="005B2A17" w:rsidRDefault="005B2A17" w:rsidP="005B2A17">
      <w:pPr>
        <w:jc w:val="both"/>
        <w:rPr>
          <w:rFonts w:ascii="Verdana" w:hAnsi="Verdana"/>
          <w:sz w:val="20"/>
        </w:rPr>
      </w:pPr>
      <w:r w:rsidRPr="005B2A17">
        <w:rPr>
          <w:rFonts w:ascii="Verdana" w:hAnsi="Verdana"/>
          <w:sz w:val="20"/>
        </w:rPr>
        <w:drawing>
          <wp:inline distT="0" distB="0" distL="0" distR="0">
            <wp:extent cx="5404485" cy="1276350"/>
            <wp:effectExtent l="0" t="0" r="5715" b="0"/>
            <wp:docPr id="23" name="Imagen 23" descr="http://www.dof.gob.mx/imagenes_diarios/2017/12/11/MAT/sener11_Cimg_1716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dof.gob.mx/imagenes_diarios/2017/12/11/MAT/sener11_Cimg_17168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4485" cy="1276350"/>
                    </a:xfrm>
                    <a:prstGeom prst="rect">
                      <a:avLst/>
                    </a:prstGeom>
                    <a:noFill/>
                    <a:ln>
                      <a:noFill/>
                    </a:ln>
                  </pic:spPr>
                </pic:pic>
              </a:graphicData>
            </a:graphic>
          </wp:inline>
        </w:drawing>
      </w:r>
    </w:p>
    <w:p w:rsidR="005B2A17" w:rsidRPr="005B2A17" w:rsidRDefault="005B2A17" w:rsidP="005B2A17">
      <w:pPr>
        <w:jc w:val="both"/>
        <w:rPr>
          <w:rFonts w:ascii="Verdana" w:hAnsi="Verdana"/>
          <w:sz w:val="20"/>
        </w:rPr>
      </w:pPr>
      <w:r w:rsidRPr="005B2A17">
        <w:rPr>
          <w:rFonts w:ascii="Verdana" w:hAnsi="Verdana"/>
          <w:b/>
          <w:bCs/>
          <w:sz w:val="20"/>
        </w:rPr>
        <w:t>6.8</w:t>
      </w:r>
      <w:r w:rsidRPr="005B2A17">
        <w:rPr>
          <w:rFonts w:ascii="Verdana" w:hAnsi="Verdana"/>
          <w:sz w:val="20"/>
        </w:rPr>
        <w:t>      </w:t>
      </w:r>
      <w:r w:rsidRPr="005B2A17">
        <w:rPr>
          <w:rFonts w:ascii="Verdana" w:hAnsi="Verdana"/>
          <w:b/>
          <w:bCs/>
          <w:sz w:val="20"/>
        </w:rPr>
        <w:t>Estructura de programa de exportación de Contratos de Interconexión Legados</w:t>
      </w:r>
    </w:p>
    <w:p w:rsidR="005B2A17" w:rsidRPr="005B2A17" w:rsidRDefault="005B2A17" w:rsidP="005B2A17">
      <w:pPr>
        <w:jc w:val="both"/>
        <w:rPr>
          <w:rFonts w:ascii="Verdana" w:hAnsi="Verdana"/>
          <w:sz w:val="20"/>
        </w:rPr>
      </w:pPr>
      <w:r w:rsidRPr="005B2A17">
        <w:rPr>
          <w:rFonts w:ascii="Verdana" w:hAnsi="Verdana"/>
          <w:sz w:val="20"/>
        </w:rPr>
        <w:t> </w:t>
      </w:r>
    </w:p>
    <w:p w:rsidR="005B2A17" w:rsidRPr="005B2A17" w:rsidRDefault="005B2A17" w:rsidP="005B2A17">
      <w:pPr>
        <w:jc w:val="both"/>
        <w:rPr>
          <w:rFonts w:ascii="Verdana" w:hAnsi="Verdana"/>
          <w:sz w:val="20"/>
        </w:rPr>
      </w:pPr>
      <w:r w:rsidRPr="005B2A17">
        <w:rPr>
          <w:rFonts w:ascii="Verdana" w:hAnsi="Verdana"/>
          <w:b/>
          <w:bCs/>
          <w:sz w:val="20"/>
        </w:rPr>
        <w:t>6.8.1</w:t>
      </w:r>
      <w:r w:rsidRPr="005B2A17">
        <w:rPr>
          <w:rFonts w:ascii="Verdana" w:hAnsi="Verdana"/>
          <w:sz w:val="20"/>
        </w:rPr>
        <w:t>   El Generador de Intermediación presentará los programas solicitadas con cantidad fija (sin precio) de exportación de energía eléctrica.</w:t>
      </w:r>
    </w:p>
    <w:p w:rsidR="005B2A17" w:rsidRPr="005B2A17" w:rsidRDefault="005B2A17" w:rsidP="005B2A17">
      <w:pPr>
        <w:jc w:val="both"/>
        <w:rPr>
          <w:rFonts w:ascii="Verdana" w:hAnsi="Verdana"/>
          <w:sz w:val="20"/>
        </w:rPr>
      </w:pPr>
      <w:r w:rsidRPr="005B2A17">
        <w:rPr>
          <w:rFonts w:ascii="Verdana" w:hAnsi="Verdana"/>
          <w:b/>
          <w:bCs/>
          <w:sz w:val="20"/>
        </w:rPr>
        <w:t>6.8.2</w:t>
      </w:r>
      <w:r w:rsidRPr="005B2A17">
        <w:rPr>
          <w:rFonts w:ascii="Verdana" w:hAnsi="Verdana"/>
          <w:sz w:val="20"/>
        </w:rPr>
        <w:t>   Las ofertas solicitadas de exportación no se considerarán dentro del Mercado del Día en Adelanto, sino que se evaluarán inmediatamente después de la conclusión de dicho mercado.</w:t>
      </w:r>
    </w:p>
    <w:p w:rsidR="005B2A17" w:rsidRPr="005B2A17" w:rsidRDefault="005B2A17" w:rsidP="005B2A17">
      <w:pPr>
        <w:jc w:val="both"/>
        <w:rPr>
          <w:rFonts w:ascii="Verdana" w:hAnsi="Verdana"/>
          <w:sz w:val="20"/>
        </w:rPr>
      </w:pPr>
      <w:r w:rsidRPr="005B2A17">
        <w:rPr>
          <w:rFonts w:ascii="Verdana" w:hAnsi="Verdana"/>
          <w:b/>
          <w:bCs/>
          <w:sz w:val="20"/>
        </w:rPr>
        <w:lastRenderedPageBreak/>
        <w:t>6.8.3</w:t>
      </w:r>
      <w:r w:rsidRPr="005B2A17">
        <w:rPr>
          <w:rFonts w:ascii="Verdana" w:hAnsi="Verdana"/>
          <w:sz w:val="20"/>
        </w:rPr>
        <w:t>   El CENACE asignará el programa de exportación, y permitirá la implementación de la Etiqueta Electrónica correspondiente o su equivalente, sólo cuando se cumplan las siguientes dos condiciones:</w:t>
      </w:r>
    </w:p>
    <w:p w:rsidR="005B2A17" w:rsidRPr="005B2A17" w:rsidRDefault="005B2A17" w:rsidP="005B2A17">
      <w:pPr>
        <w:jc w:val="both"/>
        <w:rPr>
          <w:rFonts w:ascii="Verdana" w:hAnsi="Verdana"/>
          <w:sz w:val="20"/>
        </w:rPr>
      </w:pPr>
      <w:r w:rsidRPr="005B2A17">
        <w:rPr>
          <w:rFonts w:ascii="Verdana" w:hAnsi="Verdana"/>
          <w:sz w:val="20"/>
        </w:rPr>
        <w:t>(a)  exista capacidad de exportación en el Enlace de Interconexión correspondiente que no se requirió por las ofertas del Mercado Eléctrico Mayorista que sea suficiente para transmitir la cantidad mínima ofrecida, y</w:t>
      </w:r>
    </w:p>
    <w:p w:rsidR="005B2A17" w:rsidRPr="005B2A17" w:rsidRDefault="005B2A17" w:rsidP="005B2A17">
      <w:pPr>
        <w:jc w:val="both"/>
        <w:rPr>
          <w:rFonts w:ascii="Verdana" w:hAnsi="Verdana"/>
          <w:sz w:val="20"/>
        </w:rPr>
      </w:pPr>
      <w:r w:rsidRPr="005B2A17">
        <w:rPr>
          <w:rFonts w:ascii="Verdana" w:hAnsi="Verdana"/>
          <w:sz w:val="20"/>
        </w:rPr>
        <w:t>(b)  exista capacidad de transmisión adecuada para transportar energía desde la Central Eléctrica incluida en el Contrato de Interconexión Legado al Punto de Recepción para exportación. Para tal efecto:</w:t>
      </w:r>
    </w:p>
    <w:p w:rsidR="005B2A17" w:rsidRPr="005B2A17" w:rsidRDefault="005B2A17" w:rsidP="005B2A17">
      <w:pPr>
        <w:jc w:val="both"/>
        <w:rPr>
          <w:rFonts w:ascii="Verdana" w:hAnsi="Verdana"/>
          <w:sz w:val="20"/>
        </w:rPr>
      </w:pPr>
      <w:r w:rsidRPr="005B2A17">
        <w:rPr>
          <w:rFonts w:ascii="Verdana" w:hAnsi="Verdana"/>
          <w:sz w:val="20"/>
        </w:rPr>
        <w:t>(i)   Cuando sea aplicable un Contrato de Interconexión Legado que estuviera vigente a la fecha de entrada en vigor de la Ley, se aplicarán los criterios incluidos en dicho contrato.</w:t>
      </w:r>
    </w:p>
    <w:p w:rsidR="005B2A17" w:rsidRPr="005B2A17" w:rsidRDefault="005B2A17" w:rsidP="005B2A17">
      <w:pPr>
        <w:jc w:val="both"/>
        <w:rPr>
          <w:rFonts w:ascii="Verdana" w:hAnsi="Verdana"/>
          <w:sz w:val="20"/>
        </w:rPr>
      </w:pPr>
      <w:r w:rsidRPr="005B2A17">
        <w:rPr>
          <w:rFonts w:ascii="Verdana" w:hAnsi="Verdana"/>
          <w:sz w:val="20"/>
        </w:rPr>
        <w:t xml:space="preserve">(ii)   Cuando no sea aplicable ningún Contrato de Interconexión Legado que estuviera vigente a la fecha de entrada en vigor de la Ley, el criterio para determinar la disponibilidad de transporte desde la Central Eléctrica considerará que sólo existe capacidad de transmisión disponible cuando el Precio Marginal Local del Mercado del Día en Adelanto haya sido mayor en el nodo de la Central Eléctrica que en el nodo del Punto </w:t>
      </w:r>
      <w:proofErr w:type="spellStart"/>
      <w:r w:rsidRPr="005B2A17">
        <w:rPr>
          <w:rFonts w:ascii="Verdana" w:hAnsi="Verdana"/>
          <w:sz w:val="20"/>
        </w:rPr>
        <w:t>deRecepción</w:t>
      </w:r>
      <w:proofErr w:type="spellEnd"/>
      <w:r w:rsidRPr="005B2A17">
        <w:rPr>
          <w:rFonts w:ascii="Verdana" w:hAnsi="Verdana"/>
          <w:sz w:val="20"/>
        </w:rPr>
        <w:t xml:space="preserve"> para exportación.</w:t>
      </w:r>
    </w:p>
    <w:p w:rsidR="005B2A17" w:rsidRPr="005B2A17" w:rsidRDefault="005B2A17" w:rsidP="005B2A17">
      <w:pPr>
        <w:jc w:val="both"/>
        <w:rPr>
          <w:rFonts w:ascii="Verdana" w:hAnsi="Verdana"/>
          <w:sz w:val="20"/>
        </w:rPr>
      </w:pPr>
      <w:r w:rsidRPr="005B2A17">
        <w:rPr>
          <w:rFonts w:ascii="Verdana" w:hAnsi="Verdana"/>
          <w:b/>
          <w:bCs/>
          <w:sz w:val="20"/>
        </w:rPr>
        <w:t>6.8.4</w:t>
      </w:r>
      <w:r w:rsidRPr="005B2A17">
        <w:rPr>
          <w:rFonts w:ascii="Verdana" w:hAnsi="Verdana"/>
          <w:sz w:val="20"/>
        </w:rPr>
        <w:t>   No se permitirá la implementación de la Etiqueta Electrónica a que se refiere el numeral 6.8.3 por el incumplimiento de cualquiera de las condiciones señaladas en dicho numeral en virtud de generarse Congestión en los términos establecidos en la Cláusula Décima Primera del Contrato de Interconexión para Exportación de Energía Eléctrica a Guatemala aprobado mediante la Resolución RES/376/2016 de la CRE y publicado en el Diario Oficial de la Federación el 9 de junio de 2016.</w:t>
      </w:r>
    </w:p>
    <w:p w:rsidR="005B2A17" w:rsidRPr="005B2A17" w:rsidRDefault="005B2A17" w:rsidP="005B2A17">
      <w:pPr>
        <w:jc w:val="both"/>
        <w:rPr>
          <w:rFonts w:ascii="Verdana" w:hAnsi="Verdana"/>
          <w:sz w:val="20"/>
        </w:rPr>
      </w:pPr>
      <w:r w:rsidRPr="005B2A17">
        <w:rPr>
          <w:rFonts w:ascii="Verdana" w:hAnsi="Verdana"/>
          <w:b/>
          <w:bCs/>
          <w:sz w:val="20"/>
        </w:rPr>
        <w:t>6.8.5</w:t>
      </w:r>
      <w:r w:rsidRPr="005B2A17">
        <w:rPr>
          <w:rFonts w:ascii="Verdana" w:hAnsi="Verdana"/>
          <w:sz w:val="20"/>
        </w:rPr>
        <w:t>   El Generador de Intermediación podrá ofrecer cantidades mínimas para cada hora, a fin de asegurar que la Central Eléctrica tenga las capacidades necesarias para cumplir el programa que sea asignado.</w:t>
      </w:r>
    </w:p>
    <w:p w:rsidR="005B2A17" w:rsidRPr="005B2A17" w:rsidRDefault="005B2A17" w:rsidP="005B2A17">
      <w:pPr>
        <w:jc w:val="both"/>
        <w:rPr>
          <w:rFonts w:ascii="Verdana" w:hAnsi="Verdana"/>
          <w:sz w:val="20"/>
        </w:rPr>
      </w:pPr>
      <w:r w:rsidRPr="005B2A17">
        <w:rPr>
          <w:rFonts w:ascii="Verdana" w:hAnsi="Verdana"/>
          <w:b/>
          <w:bCs/>
          <w:sz w:val="20"/>
        </w:rPr>
        <w:t>6.8.6</w:t>
      </w:r>
      <w:r w:rsidRPr="005B2A17">
        <w:rPr>
          <w:rFonts w:ascii="Verdana" w:hAnsi="Verdana"/>
          <w:sz w:val="20"/>
        </w:rPr>
        <w:t>   A continuación, se muestra un ejemplo de un programa solicitado de exportación para Contratos de Interconexión Legados:</w:t>
      </w:r>
    </w:p>
    <w:p w:rsidR="005B2A17" w:rsidRPr="005B2A17" w:rsidRDefault="005B2A17" w:rsidP="005B2A17">
      <w:pPr>
        <w:jc w:val="both"/>
        <w:rPr>
          <w:rFonts w:ascii="Verdana" w:hAnsi="Verdana"/>
          <w:sz w:val="20"/>
        </w:rPr>
      </w:pPr>
      <w:r w:rsidRPr="005B2A17">
        <w:rPr>
          <w:rFonts w:ascii="Verdana" w:hAnsi="Verdana"/>
          <w:sz w:val="20"/>
        </w:rPr>
        <w:t>          Programa de generación asociado a exportaciones de energía:</w:t>
      </w:r>
    </w:p>
    <w:p w:rsidR="005B2A17" w:rsidRPr="005B2A17" w:rsidRDefault="005B2A17" w:rsidP="005B2A17">
      <w:pPr>
        <w:jc w:val="both"/>
        <w:rPr>
          <w:rFonts w:ascii="Verdana" w:hAnsi="Verdana"/>
          <w:sz w:val="20"/>
        </w:rPr>
      </w:pPr>
      <w:r w:rsidRPr="005B2A17">
        <w:rPr>
          <w:rFonts w:ascii="Verdana" w:hAnsi="Verdana"/>
          <w:sz w:val="20"/>
        </w:rPr>
        <w:drawing>
          <wp:inline distT="0" distB="0" distL="0" distR="0">
            <wp:extent cx="5008880" cy="1009650"/>
            <wp:effectExtent l="0" t="0" r="1270" b="0"/>
            <wp:docPr id="22" name="Imagen 22" descr="http://www.dof.gob.mx/imagenes_diarios/2017/12/11/MAT/sener11_Cimg_202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dof.gob.mx/imagenes_diarios/2017/12/11/MAT/sener11_Cimg_20218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8880" cy="1009650"/>
                    </a:xfrm>
                    <a:prstGeom prst="rect">
                      <a:avLst/>
                    </a:prstGeom>
                    <a:noFill/>
                    <a:ln>
                      <a:noFill/>
                    </a:ln>
                  </pic:spPr>
                </pic:pic>
              </a:graphicData>
            </a:graphic>
          </wp:inline>
        </w:drawing>
      </w:r>
    </w:p>
    <w:p w:rsidR="005B2A17" w:rsidRPr="005B2A17" w:rsidRDefault="005B2A17" w:rsidP="005B2A17">
      <w:pPr>
        <w:jc w:val="both"/>
        <w:rPr>
          <w:rFonts w:ascii="Verdana" w:hAnsi="Verdana"/>
          <w:sz w:val="20"/>
        </w:rPr>
      </w:pPr>
      <w:r w:rsidRPr="005B2A17">
        <w:rPr>
          <w:rFonts w:ascii="Verdana" w:hAnsi="Verdana"/>
          <w:sz w:val="20"/>
        </w:rPr>
        <w:t>          Programa solicitado en el punto de recepción para exportaciones:</w:t>
      </w:r>
    </w:p>
    <w:p w:rsidR="005B2A17" w:rsidRPr="005B2A17" w:rsidRDefault="005B2A17" w:rsidP="005B2A17">
      <w:pPr>
        <w:jc w:val="both"/>
        <w:rPr>
          <w:rFonts w:ascii="Verdana" w:hAnsi="Verdana"/>
          <w:sz w:val="20"/>
        </w:rPr>
      </w:pPr>
      <w:r w:rsidRPr="005B2A17">
        <w:rPr>
          <w:rFonts w:ascii="Verdana" w:hAnsi="Verdana"/>
          <w:sz w:val="20"/>
        </w:rPr>
        <w:lastRenderedPageBreak/>
        <w:drawing>
          <wp:inline distT="0" distB="0" distL="0" distR="0">
            <wp:extent cx="5029200" cy="1200785"/>
            <wp:effectExtent l="0" t="0" r="0" b="0"/>
            <wp:docPr id="21" name="Imagen 21" descr="http://www.dof.gob.mx/imagenes_diarios/2017/12/11/MAT/sener11_Cimg_236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dof.gob.mx/imagenes_diarios/2017/12/11/MAT/sener11_Cimg_23654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200" cy="1200785"/>
                    </a:xfrm>
                    <a:prstGeom prst="rect">
                      <a:avLst/>
                    </a:prstGeom>
                    <a:noFill/>
                    <a:ln>
                      <a:noFill/>
                    </a:ln>
                  </pic:spPr>
                </pic:pic>
              </a:graphicData>
            </a:graphic>
          </wp:inline>
        </w:drawing>
      </w:r>
    </w:p>
    <w:p w:rsidR="005B2A17" w:rsidRPr="005B2A17" w:rsidRDefault="005B2A17" w:rsidP="005B2A17">
      <w:pPr>
        <w:jc w:val="both"/>
        <w:rPr>
          <w:rFonts w:ascii="Verdana" w:hAnsi="Verdana"/>
          <w:sz w:val="20"/>
        </w:rPr>
      </w:pPr>
      <w:r w:rsidRPr="005B2A17">
        <w:rPr>
          <w:rFonts w:ascii="Verdana" w:hAnsi="Verdana"/>
          <w:b/>
          <w:bCs/>
          <w:sz w:val="20"/>
        </w:rPr>
        <w:t>6.9</w:t>
      </w:r>
      <w:r w:rsidRPr="005B2A17">
        <w:rPr>
          <w:rFonts w:ascii="Verdana" w:hAnsi="Verdana"/>
          <w:sz w:val="20"/>
        </w:rPr>
        <w:t>      </w:t>
      </w:r>
      <w:r w:rsidRPr="005B2A17">
        <w:rPr>
          <w:rFonts w:ascii="Verdana" w:hAnsi="Verdana"/>
          <w:b/>
          <w:bCs/>
          <w:sz w:val="20"/>
        </w:rPr>
        <w:t>Asignación de programas finales de importación y exportación.</w:t>
      </w:r>
    </w:p>
    <w:p w:rsidR="005B2A17" w:rsidRPr="005B2A17" w:rsidRDefault="005B2A17" w:rsidP="005B2A17">
      <w:pPr>
        <w:jc w:val="both"/>
        <w:rPr>
          <w:rFonts w:ascii="Verdana" w:hAnsi="Verdana"/>
          <w:sz w:val="20"/>
        </w:rPr>
      </w:pPr>
      <w:r w:rsidRPr="005B2A17">
        <w:rPr>
          <w:rFonts w:ascii="Verdana" w:hAnsi="Verdana"/>
          <w:sz w:val="20"/>
        </w:rPr>
        <w:t> </w:t>
      </w:r>
    </w:p>
    <w:p w:rsidR="005B2A17" w:rsidRPr="005B2A17" w:rsidRDefault="005B2A17" w:rsidP="005B2A17">
      <w:pPr>
        <w:jc w:val="both"/>
        <w:rPr>
          <w:rFonts w:ascii="Verdana" w:hAnsi="Verdana"/>
          <w:sz w:val="20"/>
        </w:rPr>
      </w:pPr>
      <w:r w:rsidRPr="005B2A17">
        <w:rPr>
          <w:rFonts w:ascii="Verdana" w:hAnsi="Verdana"/>
          <w:b/>
          <w:bCs/>
          <w:sz w:val="20"/>
        </w:rPr>
        <w:t>6.9.1</w:t>
      </w:r>
      <w:r w:rsidRPr="005B2A17">
        <w:rPr>
          <w:rFonts w:ascii="Verdana" w:hAnsi="Verdana"/>
          <w:sz w:val="20"/>
        </w:rPr>
        <w:t>   Los Participantes del Mercado recibirán las asignaciones de importación y exportación en el Mercado del Día en Adelanto en el Punto de Entrega/Punto de Recepción.</w:t>
      </w:r>
    </w:p>
    <w:p w:rsidR="005B2A17" w:rsidRPr="005B2A17" w:rsidRDefault="005B2A17" w:rsidP="005B2A17">
      <w:pPr>
        <w:jc w:val="both"/>
        <w:rPr>
          <w:rFonts w:ascii="Verdana" w:hAnsi="Verdana"/>
          <w:sz w:val="20"/>
        </w:rPr>
      </w:pPr>
      <w:r w:rsidRPr="005B2A17">
        <w:rPr>
          <w:rFonts w:ascii="Verdana" w:hAnsi="Verdana"/>
          <w:b/>
          <w:bCs/>
          <w:sz w:val="20"/>
        </w:rPr>
        <w:t>6.9.2</w:t>
      </w:r>
      <w:r w:rsidRPr="005B2A17">
        <w:rPr>
          <w:rFonts w:ascii="Verdana" w:hAnsi="Verdana"/>
          <w:sz w:val="20"/>
        </w:rPr>
        <w:t>   Los programas de importación y exportación asignados en el Mercado de Día en Adelanto se considerarán fijos y sólo podrán ser reducidos o interrumpidos por el CENACE en el Mercado de Tiempo Real cuando se presenten las condiciones establecidas en el Capítulo 8 de este manual, o bien por el Operador del Sistema Eléctrico Vecino u otra entidad involucrada en la confiabilidad de los Sistemas Eléctricos Vecinos.</w:t>
      </w:r>
    </w:p>
    <w:p w:rsidR="005B2A17" w:rsidRPr="005B2A17" w:rsidRDefault="005B2A17" w:rsidP="005B2A17">
      <w:pPr>
        <w:jc w:val="both"/>
        <w:rPr>
          <w:rFonts w:ascii="Verdana" w:hAnsi="Verdana"/>
          <w:sz w:val="20"/>
        </w:rPr>
      </w:pPr>
      <w:r w:rsidRPr="005B2A17">
        <w:rPr>
          <w:rFonts w:ascii="Verdana" w:hAnsi="Verdana"/>
          <w:b/>
          <w:bCs/>
          <w:sz w:val="20"/>
        </w:rPr>
        <w:t>6.9.3</w:t>
      </w:r>
      <w:r w:rsidRPr="005B2A17">
        <w:rPr>
          <w:rFonts w:ascii="Verdana" w:hAnsi="Verdana"/>
          <w:sz w:val="20"/>
        </w:rPr>
        <w:t>   Después de cerrar el Mercado de Día en Adelanto, el CENACE no autorizará la cancelación de los compromisos establecidos en el Mercado del Día en Adelanto respecto a las importaciones y exportaciones programadas en los Puntos de Entrega y Puntos de Recepción. Cualquier cambio a estos programas se liquidará en el Mercado de Tiempo Real.</w:t>
      </w:r>
    </w:p>
    <w:p w:rsidR="005B2A17" w:rsidRPr="005B2A17" w:rsidRDefault="005B2A17" w:rsidP="005B2A17">
      <w:pPr>
        <w:jc w:val="both"/>
        <w:rPr>
          <w:rFonts w:ascii="Verdana" w:hAnsi="Verdana"/>
          <w:sz w:val="20"/>
        </w:rPr>
      </w:pPr>
      <w:r w:rsidRPr="005B2A17">
        <w:rPr>
          <w:rFonts w:ascii="Verdana" w:hAnsi="Verdana"/>
          <w:b/>
          <w:bCs/>
          <w:sz w:val="20"/>
        </w:rPr>
        <w:t>6.10</w:t>
      </w:r>
      <w:r w:rsidRPr="005B2A17">
        <w:rPr>
          <w:rFonts w:ascii="Verdana" w:hAnsi="Verdana"/>
          <w:sz w:val="20"/>
        </w:rPr>
        <w:t>    </w:t>
      </w:r>
      <w:r w:rsidRPr="005B2A17">
        <w:rPr>
          <w:rFonts w:ascii="Verdana" w:hAnsi="Verdana"/>
          <w:b/>
          <w:bCs/>
          <w:sz w:val="20"/>
        </w:rPr>
        <w:t>Asignación para Participantes del Mercado</w:t>
      </w:r>
    </w:p>
    <w:p w:rsidR="005B2A17" w:rsidRPr="005B2A17" w:rsidRDefault="005B2A17" w:rsidP="005B2A17">
      <w:pPr>
        <w:jc w:val="both"/>
        <w:rPr>
          <w:rFonts w:ascii="Verdana" w:hAnsi="Verdana"/>
          <w:sz w:val="20"/>
        </w:rPr>
      </w:pPr>
      <w:r w:rsidRPr="005B2A17">
        <w:rPr>
          <w:rFonts w:ascii="Verdana" w:hAnsi="Verdana"/>
          <w:b/>
          <w:bCs/>
          <w:sz w:val="20"/>
        </w:rPr>
        <w:t>6.10.1</w:t>
      </w:r>
      <w:r w:rsidRPr="005B2A17">
        <w:rPr>
          <w:rFonts w:ascii="Verdana" w:hAnsi="Verdana"/>
          <w:sz w:val="20"/>
        </w:rPr>
        <w:t>  El CENACE determinará, a través de la Asignación y Despacho de Unidades de Central Eléctrica en el Mercado del Día en Adelanto, las ofertas de importación y exportación que serán programadas. En dicho mercado, se asignarán programas a las ofertas de exportación que tengan el precio más alto, y se asignarán programas a las ofertas de importación que tengan el precio más bajo.</w:t>
      </w:r>
    </w:p>
    <w:p w:rsidR="005B2A17" w:rsidRPr="005B2A17" w:rsidRDefault="005B2A17" w:rsidP="005B2A17">
      <w:pPr>
        <w:jc w:val="both"/>
        <w:rPr>
          <w:rFonts w:ascii="Verdana" w:hAnsi="Verdana"/>
          <w:sz w:val="20"/>
        </w:rPr>
      </w:pPr>
      <w:r w:rsidRPr="005B2A17">
        <w:rPr>
          <w:rFonts w:ascii="Verdana" w:hAnsi="Verdana"/>
          <w:b/>
          <w:bCs/>
          <w:sz w:val="20"/>
        </w:rPr>
        <w:t>6.10.2</w:t>
      </w:r>
      <w:r w:rsidRPr="005B2A17">
        <w:rPr>
          <w:rFonts w:ascii="Verdana" w:hAnsi="Verdana"/>
          <w:sz w:val="20"/>
        </w:rPr>
        <w:t>   A fin de evitar empates entre diferentes ofertas de venta con precios idénticos para importación en un mismo punto de entrega, el CENACE restará a cada precio ofertado un valor igual a 0.01 pesos/</w:t>
      </w:r>
      <w:proofErr w:type="spellStart"/>
      <w:r w:rsidRPr="005B2A17">
        <w:rPr>
          <w:rFonts w:ascii="Verdana" w:hAnsi="Verdana"/>
          <w:sz w:val="20"/>
        </w:rPr>
        <w:t>MWh</w:t>
      </w:r>
      <w:proofErr w:type="spellEnd"/>
      <w:r w:rsidRPr="005B2A17">
        <w:rPr>
          <w:rFonts w:ascii="Verdana" w:hAnsi="Verdana"/>
          <w:sz w:val="20"/>
        </w:rPr>
        <w:t xml:space="preserve"> multiplicado por el número de horas (incluyendo horas fraccionales) entre el tiempo de recepción de la oferta y el tiempo límite para la recepción de ofertas en el Mercado de Día en Adelanto correspondiente. Este criterio tiene la intención de favorecer las ofertas que se reciben primero.</w:t>
      </w:r>
    </w:p>
    <w:p w:rsidR="005B2A17" w:rsidRPr="005B2A17" w:rsidRDefault="005B2A17" w:rsidP="005B2A17">
      <w:pPr>
        <w:jc w:val="both"/>
        <w:rPr>
          <w:rFonts w:ascii="Verdana" w:hAnsi="Verdana"/>
          <w:sz w:val="20"/>
        </w:rPr>
      </w:pPr>
      <w:r w:rsidRPr="005B2A17">
        <w:rPr>
          <w:rFonts w:ascii="Verdana" w:hAnsi="Verdana"/>
          <w:b/>
          <w:bCs/>
          <w:sz w:val="20"/>
        </w:rPr>
        <w:t>6.10.3</w:t>
      </w:r>
      <w:r w:rsidRPr="005B2A17">
        <w:rPr>
          <w:rFonts w:ascii="Verdana" w:hAnsi="Verdana"/>
          <w:sz w:val="20"/>
        </w:rPr>
        <w:t>  A fin de evitar empates entre diferentes ofertas de compra con precios idénticos para exportación en un mismo punto de recepción, el CENACE sumará a cada precio ofertado un valor igual a 0.01 pesos/</w:t>
      </w:r>
      <w:proofErr w:type="spellStart"/>
      <w:r w:rsidRPr="005B2A17">
        <w:rPr>
          <w:rFonts w:ascii="Verdana" w:hAnsi="Verdana"/>
          <w:sz w:val="20"/>
        </w:rPr>
        <w:t>MWh</w:t>
      </w:r>
      <w:proofErr w:type="spellEnd"/>
      <w:r w:rsidRPr="005B2A17">
        <w:rPr>
          <w:rFonts w:ascii="Verdana" w:hAnsi="Verdana"/>
          <w:sz w:val="20"/>
        </w:rPr>
        <w:t xml:space="preserve"> multiplicado por el número de horas (incluyendo horas fraccionales) entre el tiempo de recepción de la oferta y el tiempo </w:t>
      </w:r>
      <w:r w:rsidRPr="005B2A17">
        <w:rPr>
          <w:rFonts w:ascii="Verdana" w:hAnsi="Verdana"/>
          <w:sz w:val="20"/>
        </w:rPr>
        <w:lastRenderedPageBreak/>
        <w:t>límite para la recepción de ofertas en el Mercado de Día en Adelanto correspondiente. Este criterio tiene la intención de favorecer las ofertas que se reciben primero.</w:t>
      </w:r>
    </w:p>
    <w:p w:rsidR="005B2A17" w:rsidRPr="005B2A17" w:rsidRDefault="005B2A17" w:rsidP="005B2A17">
      <w:pPr>
        <w:jc w:val="both"/>
        <w:rPr>
          <w:rFonts w:ascii="Verdana" w:hAnsi="Verdana"/>
          <w:sz w:val="20"/>
        </w:rPr>
      </w:pPr>
      <w:r w:rsidRPr="005B2A17">
        <w:rPr>
          <w:rFonts w:ascii="Verdana" w:hAnsi="Verdana"/>
          <w:b/>
          <w:bCs/>
          <w:sz w:val="20"/>
        </w:rPr>
        <w:t>6.10.4</w:t>
      </w:r>
      <w:r w:rsidRPr="005B2A17">
        <w:rPr>
          <w:rFonts w:ascii="Verdana" w:hAnsi="Verdana"/>
          <w:sz w:val="20"/>
        </w:rPr>
        <w:t>  El Anexo 1 muestra el diagrama de flujo del proceso de programación y asignación de las importaciones y exportaciones de los Participantes del Mercado.</w:t>
      </w:r>
    </w:p>
    <w:p w:rsidR="005B2A17" w:rsidRPr="005B2A17" w:rsidRDefault="005B2A17" w:rsidP="005B2A17">
      <w:pPr>
        <w:jc w:val="both"/>
        <w:rPr>
          <w:rFonts w:ascii="Verdana" w:hAnsi="Verdana"/>
          <w:sz w:val="20"/>
        </w:rPr>
      </w:pPr>
      <w:r w:rsidRPr="005B2A17">
        <w:rPr>
          <w:rFonts w:ascii="Verdana" w:hAnsi="Verdana"/>
          <w:b/>
          <w:bCs/>
          <w:sz w:val="20"/>
        </w:rPr>
        <w:t>6.11</w:t>
      </w:r>
      <w:r w:rsidRPr="005B2A17">
        <w:rPr>
          <w:rFonts w:ascii="Verdana" w:hAnsi="Verdana"/>
          <w:sz w:val="20"/>
        </w:rPr>
        <w:t>    </w:t>
      </w:r>
      <w:r w:rsidRPr="005B2A17">
        <w:rPr>
          <w:rFonts w:ascii="Verdana" w:hAnsi="Verdana"/>
          <w:b/>
          <w:bCs/>
          <w:sz w:val="20"/>
        </w:rPr>
        <w:t>Asignación para el Generador de Intermediación</w:t>
      </w:r>
    </w:p>
    <w:p w:rsidR="005B2A17" w:rsidRPr="005B2A17" w:rsidRDefault="005B2A17" w:rsidP="005B2A17">
      <w:pPr>
        <w:jc w:val="both"/>
        <w:rPr>
          <w:rFonts w:ascii="Verdana" w:hAnsi="Verdana"/>
          <w:sz w:val="20"/>
        </w:rPr>
      </w:pPr>
      <w:r w:rsidRPr="005B2A17">
        <w:rPr>
          <w:rFonts w:ascii="Verdana" w:hAnsi="Verdana"/>
          <w:b/>
          <w:bCs/>
          <w:sz w:val="20"/>
        </w:rPr>
        <w:t>6.11.1</w:t>
      </w:r>
      <w:r w:rsidRPr="005B2A17">
        <w:rPr>
          <w:rFonts w:ascii="Verdana" w:hAnsi="Verdana"/>
          <w:sz w:val="20"/>
        </w:rPr>
        <w:t>  Los programas finales de importación o exportación para el Generador de Intermediación serán por la cantidad que resulte la menor entre:</w:t>
      </w:r>
    </w:p>
    <w:p w:rsidR="005B2A17" w:rsidRPr="005B2A17" w:rsidRDefault="005B2A17" w:rsidP="005B2A17">
      <w:pPr>
        <w:jc w:val="both"/>
        <w:rPr>
          <w:rFonts w:ascii="Verdana" w:hAnsi="Verdana"/>
          <w:sz w:val="20"/>
        </w:rPr>
      </w:pPr>
      <w:r w:rsidRPr="005B2A17">
        <w:rPr>
          <w:rFonts w:ascii="Verdana" w:hAnsi="Verdana"/>
          <w:sz w:val="20"/>
        </w:rPr>
        <w:t>(a)  La cantidad de importación o exportación solicitada por el GI</w:t>
      </w:r>
    </w:p>
    <w:p w:rsidR="005B2A17" w:rsidRPr="005B2A17" w:rsidRDefault="005B2A17" w:rsidP="005B2A17">
      <w:pPr>
        <w:jc w:val="both"/>
        <w:rPr>
          <w:rFonts w:ascii="Verdana" w:hAnsi="Verdana"/>
          <w:sz w:val="20"/>
        </w:rPr>
      </w:pPr>
      <w:r w:rsidRPr="005B2A17">
        <w:rPr>
          <w:rFonts w:ascii="Verdana" w:hAnsi="Verdana"/>
          <w:sz w:val="20"/>
        </w:rPr>
        <w:t>(b)  La capacidad de importación o exportación incluida en el Contrato de Interconexión Legado.</w:t>
      </w:r>
    </w:p>
    <w:p w:rsidR="005B2A17" w:rsidRPr="005B2A17" w:rsidRDefault="005B2A17" w:rsidP="005B2A17">
      <w:pPr>
        <w:jc w:val="both"/>
        <w:rPr>
          <w:rFonts w:ascii="Verdana" w:hAnsi="Verdana"/>
          <w:sz w:val="20"/>
        </w:rPr>
      </w:pPr>
      <w:r w:rsidRPr="005B2A17">
        <w:rPr>
          <w:rFonts w:ascii="Verdana" w:hAnsi="Verdana"/>
          <w:sz w:val="20"/>
        </w:rPr>
        <w:t>(c)   En el caso de los Contratos de Interconexión Legados, la diferencia entre la Capacidad Absoluta de Transferencia Disponible desde el Punto de Entrega/Punto de Recepción y la cantidad de importación o exportación programada en el Mercado Eléctrico Mayorista.</w:t>
      </w:r>
    </w:p>
    <w:p w:rsidR="005B2A17" w:rsidRPr="005B2A17" w:rsidRDefault="005B2A17" w:rsidP="005B2A17">
      <w:pPr>
        <w:jc w:val="both"/>
        <w:rPr>
          <w:rFonts w:ascii="Verdana" w:hAnsi="Verdana"/>
          <w:sz w:val="20"/>
        </w:rPr>
      </w:pPr>
      <w:r w:rsidRPr="005B2A17">
        <w:rPr>
          <w:rFonts w:ascii="Verdana" w:hAnsi="Verdana"/>
          <w:sz w:val="20"/>
        </w:rPr>
        <w:t>(d)  La Capacidad de Transmisión Disponible entre el Punto de Entrega/Punto de Recepción y la Central Eléctrica o Centro de Carga incluido en el Contrato de Interconexión Legado, en términos del numeral 6.7.3 (b) o 6.8.3 (b), según corresponda.</w:t>
      </w:r>
    </w:p>
    <w:p w:rsidR="005B2A17" w:rsidRPr="005B2A17" w:rsidRDefault="005B2A17" w:rsidP="005B2A17">
      <w:pPr>
        <w:jc w:val="both"/>
        <w:rPr>
          <w:rFonts w:ascii="Verdana" w:hAnsi="Verdana"/>
          <w:sz w:val="20"/>
        </w:rPr>
      </w:pPr>
      <w:r w:rsidRPr="005B2A17">
        <w:rPr>
          <w:rFonts w:ascii="Verdana" w:hAnsi="Verdana"/>
          <w:b/>
          <w:bCs/>
          <w:sz w:val="20"/>
        </w:rPr>
        <w:t>6.11.2</w:t>
      </w:r>
      <w:r w:rsidRPr="005B2A17">
        <w:rPr>
          <w:rFonts w:ascii="Verdana" w:hAnsi="Verdana"/>
          <w:sz w:val="20"/>
        </w:rPr>
        <w:t>  No se programarán exportaciones cuando el valor calculado en términos del numeral anterior sea menor a la cantidad mínima solicitada por el Generador de Intermediación.</w:t>
      </w:r>
    </w:p>
    <w:p w:rsidR="005B2A17" w:rsidRPr="005B2A17" w:rsidRDefault="005B2A17" w:rsidP="005B2A17">
      <w:pPr>
        <w:jc w:val="both"/>
        <w:rPr>
          <w:rFonts w:ascii="Verdana" w:hAnsi="Verdana"/>
          <w:sz w:val="20"/>
        </w:rPr>
      </w:pPr>
      <w:r w:rsidRPr="005B2A17">
        <w:rPr>
          <w:rFonts w:ascii="Verdana" w:hAnsi="Verdana"/>
          <w:b/>
          <w:bCs/>
          <w:sz w:val="20"/>
        </w:rPr>
        <w:t>6.11.3</w:t>
      </w:r>
      <w:r w:rsidRPr="005B2A17">
        <w:rPr>
          <w:rFonts w:ascii="Verdana" w:hAnsi="Verdana"/>
          <w:sz w:val="20"/>
        </w:rPr>
        <w:t>  El CENACE asignará al Generador de Intermediación el programa de importación o exportación que resulte. En caso de que más de un titular de Contrato de Interconexión Legado hubiera presentado programas de importación o exportación ante el Generador de Intermediación y que la cantidad calculada en términos del numeral 6.11.1 inciso (c) le impida al Generador de Intermediación otorgarle la cantidad completa de los programas solicitados a los titulares de los Contratos de Interconexión Legados, les asignará en forma proporcional la cantidad de importación o exportación solicitada, dicha asignación deberá ajustarse a valores enteros y deberá de notificarse al CENACE para su liquidación en el MEM.</w:t>
      </w:r>
    </w:p>
    <w:p w:rsidR="005B2A17" w:rsidRPr="005B2A17" w:rsidRDefault="005B2A17" w:rsidP="005B2A17">
      <w:pPr>
        <w:jc w:val="both"/>
        <w:rPr>
          <w:rFonts w:ascii="Verdana" w:hAnsi="Verdana"/>
          <w:sz w:val="20"/>
        </w:rPr>
      </w:pPr>
      <w:r w:rsidRPr="005B2A17">
        <w:rPr>
          <w:rFonts w:ascii="Verdana" w:hAnsi="Verdana"/>
          <w:b/>
          <w:bCs/>
          <w:sz w:val="20"/>
        </w:rPr>
        <w:t>6.11.4</w:t>
      </w:r>
      <w:r w:rsidRPr="005B2A17">
        <w:rPr>
          <w:rFonts w:ascii="Verdana" w:hAnsi="Verdana"/>
          <w:sz w:val="20"/>
        </w:rPr>
        <w:t>  Por ejemplo, asumamos que la cantidad calculada en términos del numeral 6.11.1 inciso (c) es de</w:t>
      </w:r>
    </w:p>
    <w:p w:rsidR="005B2A17" w:rsidRPr="005B2A17" w:rsidRDefault="005B2A17" w:rsidP="005B2A17">
      <w:pPr>
        <w:jc w:val="both"/>
        <w:rPr>
          <w:rFonts w:ascii="Verdana" w:hAnsi="Verdana"/>
          <w:sz w:val="20"/>
        </w:rPr>
      </w:pPr>
      <w:r w:rsidRPr="005B2A17">
        <w:rPr>
          <w:rFonts w:ascii="Verdana" w:hAnsi="Verdana"/>
          <w:sz w:val="20"/>
        </w:rPr>
        <w:t xml:space="preserve">100 MW y que dos titulares de Contratos de Interconexión Legados entregaron programas de importación al Generador de Intermediación por 100 MW cada uno a la misma hora, donde la capacidad de transmisión disponible entre el Punto de Entrega/Punto de Recepción y la Central Eléctrica o Centro de Carga incluido en el Contrato de Interconexión Legado no restringe ninguna de las dos solicitudes. Dado el límite de transmisión, el Generador de Intermediación asignará a cada titular de </w:t>
      </w:r>
      <w:r w:rsidRPr="005B2A17">
        <w:rPr>
          <w:rFonts w:ascii="Verdana" w:hAnsi="Verdana"/>
          <w:sz w:val="20"/>
        </w:rPr>
        <w:lastRenderedPageBreak/>
        <w:t>Contrato de Interconexión Legado la mitad de la cantidad disponible, es decir 50 MW. En caso de resultar cantidades fraccionadas y dado que la programación de las importaciones y exportaciones se debe de realizar con número enteros, las asignaciones fraccionadas se redondearán de la siguiente forma:</w:t>
      </w:r>
    </w:p>
    <w:p w:rsidR="005B2A17" w:rsidRPr="005B2A17" w:rsidRDefault="005B2A17" w:rsidP="005B2A17">
      <w:pPr>
        <w:jc w:val="both"/>
        <w:rPr>
          <w:rFonts w:ascii="Verdana" w:hAnsi="Verdana"/>
          <w:sz w:val="20"/>
        </w:rPr>
      </w:pPr>
      <w:r w:rsidRPr="005B2A17">
        <w:rPr>
          <w:rFonts w:ascii="Verdana" w:hAnsi="Verdana"/>
          <w:sz w:val="20"/>
        </w:rPr>
        <w:t>(a)  Si la fracción decimal es mayor que 0.5, entonces de redondeará al número entero superior.</w:t>
      </w:r>
    </w:p>
    <w:p w:rsidR="005B2A17" w:rsidRPr="005B2A17" w:rsidRDefault="005B2A17" w:rsidP="005B2A17">
      <w:pPr>
        <w:jc w:val="both"/>
        <w:rPr>
          <w:rFonts w:ascii="Verdana" w:hAnsi="Verdana"/>
          <w:sz w:val="20"/>
        </w:rPr>
      </w:pPr>
      <w:r w:rsidRPr="005B2A17">
        <w:rPr>
          <w:rFonts w:ascii="Verdana" w:hAnsi="Verdana"/>
          <w:sz w:val="20"/>
        </w:rPr>
        <w:t>(b)  Si la fracción decimal es menor que 0.5, entonces se redondeará al número entero inferior.</w:t>
      </w:r>
    </w:p>
    <w:p w:rsidR="005B2A17" w:rsidRPr="005B2A17" w:rsidRDefault="005B2A17" w:rsidP="005B2A17">
      <w:pPr>
        <w:jc w:val="both"/>
        <w:rPr>
          <w:rFonts w:ascii="Verdana" w:hAnsi="Verdana"/>
          <w:sz w:val="20"/>
        </w:rPr>
      </w:pPr>
      <w:r w:rsidRPr="005B2A17">
        <w:rPr>
          <w:rFonts w:ascii="Verdana" w:hAnsi="Verdana"/>
          <w:sz w:val="20"/>
        </w:rPr>
        <w:t>(c)  Si la fracción decimal de cada oferta es igual a 0.5, entonces todas las ofertas se redondearán al número entero inferior, con el objeto de no exceder la Capacidad Absoluta de Transferencia Disponible.</w:t>
      </w:r>
    </w:p>
    <w:p w:rsidR="005B2A17" w:rsidRPr="005B2A17" w:rsidRDefault="005B2A17" w:rsidP="005B2A17">
      <w:pPr>
        <w:jc w:val="both"/>
        <w:rPr>
          <w:rFonts w:ascii="Verdana" w:hAnsi="Verdana"/>
          <w:sz w:val="20"/>
        </w:rPr>
      </w:pPr>
      <w:r w:rsidRPr="005B2A17">
        <w:rPr>
          <w:rFonts w:ascii="Verdana" w:hAnsi="Verdana"/>
          <w:b/>
          <w:bCs/>
          <w:sz w:val="20"/>
        </w:rPr>
        <w:t>6.11.5</w:t>
      </w:r>
      <w:r w:rsidRPr="005B2A17">
        <w:rPr>
          <w:rFonts w:ascii="Verdana" w:hAnsi="Verdana"/>
          <w:sz w:val="20"/>
        </w:rPr>
        <w:t>  El Anexo 2 muestra el diagrama de flujo del proceso de asignación de los programas de importación y exportación para el Generador de Intermediación.</w:t>
      </w:r>
    </w:p>
    <w:p w:rsidR="005B2A17" w:rsidRPr="005B2A17" w:rsidRDefault="005B2A17" w:rsidP="005B2A17">
      <w:pPr>
        <w:jc w:val="both"/>
        <w:rPr>
          <w:rFonts w:ascii="Verdana" w:hAnsi="Verdana"/>
          <w:sz w:val="20"/>
        </w:rPr>
      </w:pPr>
      <w:r w:rsidRPr="005B2A17">
        <w:rPr>
          <w:rFonts w:ascii="Verdana" w:hAnsi="Verdana"/>
          <w:b/>
          <w:bCs/>
          <w:sz w:val="20"/>
        </w:rPr>
        <w:t>6.12</w:t>
      </w:r>
      <w:r w:rsidRPr="005B2A17">
        <w:rPr>
          <w:rFonts w:ascii="Verdana" w:hAnsi="Verdana"/>
          <w:sz w:val="20"/>
        </w:rPr>
        <w:t>    </w:t>
      </w:r>
      <w:r w:rsidRPr="005B2A17">
        <w:rPr>
          <w:rFonts w:ascii="Verdana" w:hAnsi="Verdana"/>
          <w:b/>
          <w:bCs/>
          <w:sz w:val="20"/>
        </w:rPr>
        <w:t xml:space="preserve">Asignación en el Enlace de Interconexión </w:t>
      </w:r>
      <w:proofErr w:type="spellStart"/>
      <w:r w:rsidRPr="005B2A17">
        <w:rPr>
          <w:rFonts w:ascii="Verdana" w:hAnsi="Verdana"/>
          <w:b/>
          <w:bCs/>
          <w:sz w:val="20"/>
        </w:rPr>
        <w:t>CumbresRail</w:t>
      </w:r>
      <w:proofErr w:type="spellEnd"/>
      <w:r w:rsidRPr="005B2A17">
        <w:rPr>
          <w:rFonts w:ascii="Verdana" w:hAnsi="Verdana"/>
          <w:b/>
          <w:bCs/>
          <w:sz w:val="20"/>
        </w:rPr>
        <w:t xml:space="preserve"> Road con ERCOT</w:t>
      </w:r>
    </w:p>
    <w:p w:rsidR="005B2A17" w:rsidRPr="005B2A17" w:rsidRDefault="005B2A17" w:rsidP="005B2A17">
      <w:pPr>
        <w:jc w:val="both"/>
        <w:rPr>
          <w:rFonts w:ascii="Verdana" w:hAnsi="Verdana"/>
          <w:sz w:val="20"/>
        </w:rPr>
      </w:pPr>
      <w:r w:rsidRPr="005B2A17">
        <w:rPr>
          <w:rFonts w:ascii="Verdana" w:hAnsi="Verdana"/>
          <w:b/>
          <w:bCs/>
          <w:sz w:val="20"/>
        </w:rPr>
        <w:t>6.12.1</w:t>
      </w:r>
      <w:r w:rsidRPr="005B2A17">
        <w:rPr>
          <w:rFonts w:ascii="Verdana" w:hAnsi="Verdana"/>
          <w:sz w:val="20"/>
        </w:rPr>
        <w:t>  En el caso particular del Enlace de Interconexión Cumbres Rail Road con el sistema eléctrico de ERCOT, se tiene establecido un límite mínimo de 15 MW para transferencia de energía, por lo tanto, se deberá aplicar el siguiente criterio específico para la asignación:</w:t>
      </w:r>
    </w:p>
    <w:p w:rsidR="005B2A17" w:rsidRPr="005B2A17" w:rsidRDefault="005B2A17" w:rsidP="005B2A17">
      <w:pPr>
        <w:jc w:val="both"/>
        <w:rPr>
          <w:rFonts w:ascii="Verdana" w:hAnsi="Verdana"/>
          <w:sz w:val="20"/>
        </w:rPr>
      </w:pPr>
      <w:r w:rsidRPr="005B2A17">
        <w:rPr>
          <w:rFonts w:ascii="Verdana" w:hAnsi="Verdana"/>
          <w:b/>
          <w:bCs/>
          <w:sz w:val="20"/>
        </w:rPr>
        <w:t>6.12.2</w:t>
      </w:r>
      <w:r w:rsidRPr="005B2A17">
        <w:rPr>
          <w:rFonts w:ascii="Verdana" w:hAnsi="Verdana"/>
          <w:sz w:val="20"/>
        </w:rPr>
        <w:t>  La suma de las energías de importación y exportación (valor neto) de todas las ofertas presentadas en el Enlace de Interconexión Cumbres Rail Road con el Sistema Eléctrico de ERCOT, deberá ser mayor al límite mínimo de 15 MW para poder transferir energía; de lo contrario se mitigarán las ofertas en este Enlace de Interconexión, para cumplir con el límite mínimo, en el siguiente orden:</w:t>
      </w:r>
    </w:p>
    <w:p w:rsidR="005B2A17" w:rsidRPr="005B2A17" w:rsidRDefault="005B2A17" w:rsidP="005B2A17">
      <w:pPr>
        <w:jc w:val="both"/>
        <w:rPr>
          <w:rFonts w:ascii="Verdana" w:hAnsi="Verdana"/>
          <w:sz w:val="20"/>
        </w:rPr>
      </w:pPr>
      <w:r w:rsidRPr="005B2A17">
        <w:rPr>
          <w:rFonts w:ascii="Verdana" w:hAnsi="Verdana"/>
          <w:sz w:val="20"/>
        </w:rPr>
        <w:t>(a)  Cuando los programas resulten en una exportación neta menor a 15 MW:</w:t>
      </w:r>
    </w:p>
    <w:p w:rsidR="005B2A17" w:rsidRPr="005B2A17" w:rsidRDefault="005B2A17" w:rsidP="005B2A17">
      <w:pPr>
        <w:jc w:val="both"/>
        <w:rPr>
          <w:rFonts w:ascii="Verdana" w:hAnsi="Verdana"/>
          <w:sz w:val="20"/>
        </w:rPr>
      </w:pPr>
      <w:r w:rsidRPr="005B2A17">
        <w:rPr>
          <w:rFonts w:ascii="Verdana" w:hAnsi="Verdana"/>
          <w:sz w:val="20"/>
        </w:rPr>
        <w:t>(i)   Se reducirán los programas de importación del Generador de Intermediación en forma proporcional, hasta llegar a una exportación neta de 15 MW.</w:t>
      </w:r>
    </w:p>
    <w:p w:rsidR="005B2A17" w:rsidRPr="005B2A17" w:rsidRDefault="005B2A17" w:rsidP="005B2A17">
      <w:pPr>
        <w:jc w:val="both"/>
        <w:rPr>
          <w:rFonts w:ascii="Verdana" w:hAnsi="Verdana"/>
          <w:sz w:val="20"/>
        </w:rPr>
      </w:pPr>
      <w:r w:rsidRPr="005B2A17">
        <w:rPr>
          <w:rFonts w:ascii="Verdana" w:hAnsi="Verdana"/>
          <w:sz w:val="20"/>
        </w:rPr>
        <w:t>(ii)   Se reducirán los programas de importación de Participantes del Mercado de mayor costo al menor costo, hasta llegar a una exportación neta de 15 MW.</w:t>
      </w:r>
    </w:p>
    <w:p w:rsidR="005B2A17" w:rsidRPr="005B2A17" w:rsidRDefault="005B2A17" w:rsidP="005B2A17">
      <w:pPr>
        <w:jc w:val="both"/>
        <w:rPr>
          <w:rFonts w:ascii="Verdana" w:hAnsi="Verdana"/>
          <w:sz w:val="20"/>
        </w:rPr>
      </w:pPr>
      <w:r w:rsidRPr="005B2A17">
        <w:rPr>
          <w:rFonts w:ascii="Verdana" w:hAnsi="Verdana"/>
          <w:sz w:val="20"/>
        </w:rPr>
        <w:t>(iii)  En caso de resultar cantidades fraccionadas y dado que la programación de las importaciones se debe de realizar con número enteros, las asignaciones fraccionadas se redondearán de igual forma a lo establecido en el numeral 6.11.4.</w:t>
      </w:r>
    </w:p>
    <w:p w:rsidR="005B2A17" w:rsidRPr="005B2A17" w:rsidRDefault="005B2A17" w:rsidP="005B2A17">
      <w:pPr>
        <w:jc w:val="both"/>
        <w:rPr>
          <w:rFonts w:ascii="Verdana" w:hAnsi="Verdana"/>
          <w:sz w:val="20"/>
        </w:rPr>
      </w:pPr>
      <w:r w:rsidRPr="005B2A17">
        <w:rPr>
          <w:rFonts w:ascii="Verdana" w:hAnsi="Verdana"/>
          <w:sz w:val="20"/>
        </w:rPr>
        <w:t>(iv)  En caso de no poder llegar a una exportación neta de 15 MW mediante la reducción de importaciones, se cancelarán todos los programas de exportación.</w:t>
      </w:r>
    </w:p>
    <w:p w:rsidR="005B2A17" w:rsidRPr="005B2A17" w:rsidRDefault="005B2A17" w:rsidP="005B2A17">
      <w:pPr>
        <w:jc w:val="both"/>
        <w:rPr>
          <w:rFonts w:ascii="Verdana" w:hAnsi="Verdana"/>
          <w:sz w:val="20"/>
        </w:rPr>
      </w:pPr>
      <w:r w:rsidRPr="005B2A17">
        <w:rPr>
          <w:rFonts w:ascii="Verdana" w:hAnsi="Verdana"/>
          <w:sz w:val="20"/>
        </w:rPr>
        <w:t>(v)  El limite técnico (15 MW) de este enlace, queda sujeto a modificarse por parte del CENACE en conjunto con el Sistema Eléctrico Vecino, lo cual notificará de los cambios que se deriven a través del Portal del CENACE.</w:t>
      </w:r>
    </w:p>
    <w:p w:rsidR="005B2A17" w:rsidRPr="005B2A17" w:rsidRDefault="005B2A17" w:rsidP="005B2A17">
      <w:pPr>
        <w:jc w:val="both"/>
        <w:rPr>
          <w:rFonts w:ascii="Verdana" w:hAnsi="Verdana"/>
          <w:sz w:val="20"/>
        </w:rPr>
      </w:pPr>
      <w:r w:rsidRPr="005B2A17">
        <w:rPr>
          <w:rFonts w:ascii="Verdana" w:hAnsi="Verdana"/>
          <w:sz w:val="20"/>
        </w:rPr>
        <w:lastRenderedPageBreak/>
        <w:t>(b)  Cuando los programas resulten en una importación neta menor a 15 MW:</w:t>
      </w:r>
    </w:p>
    <w:p w:rsidR="005B2A17" w:rsidRPr="005B2A17" w:rsidRDefault="005B2A17" w:rsidP="005B2A17">
      <w:pPr>
        <w:jc w:val="both"/>
        <w:rPr>
          <w:rFonts w:ascii="Verdana" w:hAnsi="Verdana"/>
          <w:sz w:val="20"/>
        </w:rPr>
      </w:pPr>
      <w:r w:rsidRPr="005B2A17">
        <w:rPr>
          <w:rFonts w:ascii="Verdana" w:hAnsi="Verdana"/>
          <w:sz w:val="20"/>
        </w:rPr>
        <w:t>(i)   Se reducirán los programas de exportación del Generador de Intermediación en forma proporcional, hasta llegar a una importación neta de 15 MW.</w:t>
      </w:r>
    </w:p>
    <w:p w:rsidR="005B2A17" w:rsidRPr="005B2A17" w:rsidRDefault="005B2A17" w:rsidP="005B2A17">
      <w:pPr>
        <w:jc w:val="both"/>
        <w:rPr>
          <w:rFonts w:ascii="Verdana" w:hAnsi="Verdana"/>
          <w:sz w:val="20"/>
        </w:rPr>
      </w:pPr>
      <w:r w:rsidRPr="005B2A17">
        <w:rPr>
          <w:rFonts w:ascii="Verdana" w:hAnsi="Verdana"/>
          <w:sz w:val="20"/>
        </w:rPr>
        <w:t>(ii)   Se reducirán los programas de exportación de Participantes del Mercado de menor costo a mayor costo, hasta llegar a una importación neta de 15 MW.</w:t>
      </w:r>
    </w:p>
    <w:p w:rsidR="005B2A17" w:rsidRPr="005B2A17" w:rsidRDefault="005B2A17" w:rsidP="005B2A17">
      <w:pPr>
        <w:jc w:val="both"/>
        <w:rPr>
          <w:rFonts w:ascii="Verdana" w:hAnsi="Verdana"/>
          <w:sz w:val="20"/>
        </w:rPr>
      </w:pPr>
      <w:r w:rsidRPr="005B2A17">
        <w:rPr>
          <w:rFonts w:ascii="Verdana" w:hAnsi="Verdana"/>
          <w:sz w:val="20"/>
        </w:rPr>
        <w:t>(iii)  En caso de resultar cantidades fraccionadas y dado que la programación de las importaciones se debe de realizar con numero enteros, las asignaciones fraccionadas se redondearán de igual forma a lo establecido en el numeral 6.11.4.</w:t>
      </w:r>
    </w:p>
    <w:p w:rsidR="005B2A17" w:rsidRPr="005B2A17" w:rsidRDefault="005B2A17" w:rsidP="005B2A17">
      <w:pPr>
        <w:jc w:val="both"/>
        <w:rPr>
          <w:rFonts w:ascii="Verdana" w:hAnsi="Verdana"/>
          <w:sz w:val="20"/>
        </w:rPr>
      </w:pPr>
      <w:r w:rsidRPr="005B2A17">
        <w:rPr>
          <w:rFonts w:ascii="Verdana" w:hAnsi="Verdana"/>
          <w:sz w:val="20"/>
        </w:rPr>
        <w:t>(iv)  En caso de no poder llegar a una importación neta de 15 MW mediante la reducción de exportaciones, se cancelarán todos los programas de importación.</w:t>
      </w:r>
    </w:p>
    <w:p w:rsidR="005B2A17" w:rsidRPr="005B2A17" w:rsidRDefault="005B2A17" w:rsidP="005B2A17">
      <w:pPr>
        <w:jc w:val="both"/>
        <w:rPr>
          <w:rFonts w:ascii="Verdana" w:hAnsi="Verdana"/>
          <w:sz w:val="20"/>
        </w:rPr>
      </w:pPr>
      <w:r w:rsidRPr="005B2A17">
        <w:rPr>
          <w:rFonts w:ascii="Verdana" w:hAnsi="Verdana"/>
          <w:sz w:val="20"/>
        </w:rPr>
        <w:t>(v)  El limite técnico (15 MW) de este enlace, queda sujeto a modificarse por parte del CENACE en conjunto con el Sistema Eléctrico Vecino, lo cual notificará de los cambios que se deriven a través del Portal del CENACE.</w:t>
      </w:r>
    </w:p>
    <w:p w:rsidR="005B2A17" w:rsidRPr="005B2A17" w:rsidRDefault="005B2A17" w:rsidP="005B2A17">
      <w:pPr>
        <w:jc w:val="both"/>
        <w:rPr>
          <w:rFonts w:ascii="Verdana" w:hAnsi="Verdana"/>
          <w:sz w:val="20"/>
        </w:rPr>
      </w:pPr>
      <w:r w:rsidRPr="005B2A17">
        <w:rPr>
          <w:rFonts w:ascii="Verdana" w:hAnsi="Verdana"/>
          <w:b/>
          <w:bCs/>
          <w:sz w:val="20"/>
        </w:rPr>
        <w:t>6.12.3</w:t>
      </w:r>
      <w:r w:rsidRPr="005B2A17">
        <w:rPr>
          <w:rFonts w:ascii="Verdana" w:hAnsi="Verdana"/>
          <w:sz w:val="20"/>
        </w:rPr>
        <w:t xml:space="preserve">  Los programas netos sólo se usarán para aplicar las capacidades mínimas de los Enlaces de Interconexión en términos de este numeral 6.12. Las capacidades máximas de los Enlaces de Interconexión se aplicarán sin </w:t>
      </w:r>
      <w:proofErr w:type="spellStart"/>
      <w:r w:rsidRPr="005B2A17">
        <w:rPr>
          <w:rFonts w:ascii="Verdana" w:hAnsi="Verdana"/>
          <w:sz w:val="20"/>
        </w:rPr>
        <w:t>neteo</w:t>
      </w:r>
      <w:proofErr w:type="spellEnd"/>
      <w:r w:rsidRPr="005B2A17">
        <w:rPr>
          <w:rFonts w:ascii="Verdana" w:hAnsi="Verdana"/>
          <w:sz w:val="20"/>
        </w:rPr>
        <w:t>:</w:t>
      </w:r>
    </w:p>
    <w:p w:rsidR="005B2A17" w:rsidRPr="005B2A17" w:rsidRDefault="005B2A17" w:rsidP="005B2A17">
      <w:pPr>
        <w:jc w:val="both"/>
        <w:rPr>
          <w:rFonts w:ascii="Verdana" w:hAnsi="Verdana"/>
          <w:sz w:val="20"/>
        </w:rPr>
      </w:pPr>
      <w:r w:rsidRPr="005B2A17">
        <w:rPr>
          <w:rFonts w:ascii="Verdana" w:hAnsi="Verdana"/>
          <w:sz w:val="20"/>
        </w:rPr>
        <w:t> </w:t>
      </w:r>
    </w:p>
    <w:p w:rsidR="005B2A17" w:rsidRPr="005B2A17" w:rsidRDefault="005B2A17" w:rsidP="005B2A17">
      <w:pPr>
        <w:jc w:val="both"/>
        <w:rPr>
          <w:rFonts w:ascii="Verdana" w:hAnsi="Verdana"/>
          <w:sz w:val="20"/>
        </w:rPr>
      </w:pPr>
      <w:r w:rsidRPr="005B2A17">
        <w:rPr>
          <w:rFonts w:ascii="Verdana" w:hAnsi="Verdana"/>
          <w:b/>
          <w:bCs/>
          <w:sz w:val="20"/>
        </w:rPr>
        <w:t>CAPÍTULO 7</w:t>
      </w:r>
    </w:p>
    <w:p w:rsidR="005B2A17" w:rsidRPr="005B2A17" w:rsidRDefault="005B2A17" w:rsidP="005B2A17">
      <w:pPr>
        <w:jc w:val="both"/>
        <w:rPr>
          <w:rFonts w:ascii="Verdana" w:hAnsi="Verdana"/>
          <w:sz w:val="20"/>
        </w:rPr>
      </w:pPr>
      <w:r w:rsidRPr="005B2A17">
        <w:rPr>
          <w:rFonts w:ascii="Verdana" w:hAnsi="Verdana"/>
          <w:b/>
          <w:bCs/>
          <w:sz w:val="20"/>
        </w:rPr>
        <w:t>Implementación de Etiquetas Electrónicas</w:t>
      </w:r>
    </w:p>
    <w:p w:rsidR="005B2A17" w:rsidRPr="005B2A17" w:rsidRDefault="005B2A17" w:rsidP="005B2A17">
      <w:pPr>
        <w:jc w:val="both"/>
        <w:rPr>
          <w:rFonts w:ascii="Verdana" w:hAnsi="Verdana"/>
          <w:sz w:val="20"/>
        </w:rPr>
      </w:pPr>
      <w:r w:rsidRPr="005B2A17">
        <w:rPr>
          <w:rFonts w:ascii="Verdana" w:hAnsi="Verdana"/>
          <w:b/>
          <w:bCs/>
          <w:sz w:val="20"/>
        </w:rPr>
        <w:t>7.1</w:t>
      </w:r>
      <w:r w:rsidRPr="005B2A17">
        <w:rPr>
          <w:rFonts w:ascii="Verdana" w:hAnsi="Verdana"/>
          <w:sz w:val="20"/>
        </w:rPr>
        <w:t>      </w:t>
      </w:r>
      <w:r w:rsidRPr="005B2A17">
        <w:rPr>
          <w:rFonts w:ascii="Verdana" w:hAnsi="Verdana"/>
          <w:b/>
          <w:bCs/>
          <w:sz w:val="20"/>
        </w:rPr>
        <w:t>Disposiciones Generales</w:t>
      </w:r>
    </w:p>
    <w:p w:rsidR="005B2A17" w:rsidRPr="005B2A17" w:rsidRDefault="005B2A17" w:rsidP="005B2A17">
      <w:pPr>
        <w:jc w:val="both"/>
        <w:rPr>
          <w:rFonts w:ascii="Verdana" w:hAnsi="Verdana"/>
          <w:sz w:val="20"/>
        </w:rPr>
      </w:pPr>
      <w:r w:rsidRPr="005B2A17">
        <w:rPr>
          <w:rFonts w:ascii="Verdana" w:hAnsi="Verdana"/>
          <w:b/>
          <w:bCs/>
          <w:sz w:val="20"/>
        </w:rPr>
        <w:t>7.1.1</w:t>
      </w:r>
      <w:r w:rsidRPr="005B2A17">
        <w:rPr>
          <w:rFonts w:ascii="Verdana" w:hAnsi="Verdana"/>
          <w:sz w:val="20"/>
        </w:rPr>
        <w:t>   El Software de Programación Física corresponde a los modelos y sistemas del Mercado de Día en Adelanto, y emitirá una clave única asociada con cada transacción de importación o exportación asignada en el Mercado del Día en Adelanto o para Contratos de Interconexión Legados.</w:t>
      </w:r>
    </w:p>
    <w:p w:rsidR="005B2A17" w:rsidRPr="005B2A17" w:rsidRDefault="005B2A17" w:rsidP="005B2A17">
      <w:pPr>
        <w:jc w:val="both"/>
        <w:rPr>
          <w:rFonts w:ascii="Verdana" w:hAnsi="Verdana"/>
          <w:sz w:val="20"/>
        </w:rPr>
      </w:pPr>
      <w:r w:rsidRPr="005B2A17">
        <w:rPr>
          <w:rFonts w:ascii="Verdana" w:hAnsi="Verdana"/>
          <w:b/>
          <w:bCs/>
          <w:sz w:val="20"/>
        </w:rPr>
        <w:t>7.1.2</w:t>
      </w:r>
      <w:r w:rsidRPr="005B2A17">
        <w:rPr>
          <w:rFonts w:ascii="Verdana" w:hAnsi="Verdana"/>
          <w:sz w:val="20"/>
        </w:rPr>
        <w:t>   Una vez asignadas las ofertas de importación y exportación de los Participantes del Mercado en el Mercado de Día en Adelanto y asignadas las importaciones y exportaciones para los Contratos de Interconexión Legados, se deberán programar físicamente los programas de importación y exportación a través de una Etiqueta Electrónica individual por cada transacción para todos los enlaces del norte del país. En el caso de Guatemala y Belice mientras no se utilicen Etiquetas Electrónicas, CENACE enviará correos electrónicos a los Participantes de Mercado con los programas de importación o exportación aprobados.</w:t>
      </w:r>
    </w:p>
    <w:p w:rsidR="005B2A17" w:rsidRPr="005B2A17" w:rsidRDefault="005B2A17" w:rsidP="005B2A17">
      <w:pPr>
        <w:jc w:val="both"/>
        <w:rPr>
          <w:rFonts w:ascii="Verdana" w:hAnsi="Verdana"/>
          <w:sz w:val="20"/>
        </w:rPr>
      </w:pPr>
      <w:r w:rsidRPr="005B2A17">
        <w:rPr>
          <w:rFonts w:ascii="Verdana" w:hAnsi="Verdana"/>
          <w:b/>
          <w:bCs/>
          <w:sz w:val="20"/>
        </w:rPr>
        <w:t>7.1.3</w:t>
      </w:r>
      <w:r w:rsidRPr="005B2A17">
        <w:rPr>
          <w:rFonts w:ascii="Verdana" w:hAnsi="Verdana"/>
          <w:sz w:val="20"/>
        </w:rPr>
        <w:t>   Como resultado de las ofertas aceptadas en el Mercado de Día en Adelanto, el CENACE registrará en el Sistema de Información de Mercado los intercambios netos horarios.</w:t>
      </w:r>
    </w:p>
    <w:p w:rsidR="005B2A17" w:rsidRPr="005B2A17" w:rsidRDefault="005B2A17" w:rsidP="005B2A17">
      <w:pPr>
        <w:jc w:val="both"/>
        <w:rPr>
          <w:rFonts w:ascii="Verdana" w:hAnsi="Verdana"/>
          <w:sz w:val="20"/>
        </w:rPr>
      </w:pPr>
      <w:r w:rsidRPr="005B2A17">
        <w:rPr>
          <w:rFonts w:ascii="Verdana" w:hAnsi="Verdana"/>
          <w:b/>
          <w:bCs/>
          <w:sz w:val="20"/>
        </w:rPr>
        <w:lastRenderedPageBreak/>
        <w:t>7.1.4</w:t>
      </w:r>
      <w:r w:rsidRPr="005B2A17">
        <w:rPr>
          <w:rFonts w:ascii="Verdana" w:hAnsi="Verdana"/>
          <w:sz w:val="20"/>
        </w:rPr>
        <w:t>   El Generador de Intermediación y los titulares de los Contratos de Interconexión Legado sólo estarán autorizados para importar o exportar energía por los enlaces que les haya sido autorizado por la CRE.</w:t>
      </w:r>
    </w:p>
    <w:p w:rsidR="005B2A17" w:rsidRPr="005B2A17" w:rsidRDefault="005B2A17" w:rsidP="005B2A17">
      <w:pPr>
        <w:jc w:val="both"/>
        <w:rPr>
          <w:rFonts w:ascii="Verdana" w:hAnsi="Verdana"/>
          <w:sz w:val="20"/>
        </w:rPr>
      </w:pPr>
      <w:r w:rsidRPr="005B2A17">
        <w:rPr>
          <w:rFonts w:ascii="Verdana" w:hAnsi="Verdana"/>
          <w:b/>
          <w:bCs/>
          <w:sz w:val="20"/>
        </w:rPr>
        <w:t>7.2</w:t>
      </w:r>
      <w:r w:rsidRPr="005B2A17">
        <w:rPr>
          <w:rFonts w:ascii="Verdana" w:hAnsi="Verdana"/>
          <w:sz w:val="20"/>
        </w:rPr>
        <w:t>      </w:t>
      </w:r>
      <w:r w:rsidRPr="005B2A17">
        <w:rPr>
          <w:rFonts w:ascii="Verdana" w:hAnsi="Verdana"/>
          <w:b/>
          <w:bCs/>
          <w:sz w:val="20"/>
        </w:rPr>
        <w:t>Disposiciones Generales para las Etiquetas Electrónicas en los Enlaces de interconexión en el Norte del País.</w:t>
      </w:r>
    </w:p>
    <w:p w:rsidR="005B2A17" w:rsidRPr="005B2A17" w:rsidRDefault="005B2A17" w:rsidP="005B2A17">
      <w:pPr>
        <w:jc w:val="both"/>
        <w:rPr>
          <w:rFonts w:ascii="Verdana" w:hAnsi="Verdana"/>
          <w:sz w:val="20"/>
        </w:rPr>
      </w:pPr>
      <w:r w:rsidRPr="005B2A17">
        <w:rPr>
          <w:rFonts w:ascii="Verdana" w:hAnsi="Verdana"/>
          <w:b/>
          <w:bCs/>
          <w:sz w:val="20"/>
        </w:rPr>
        <w:t>7.2.1</w:t>
      </w:r>
      <w:r w:rsidRPr="005B2A17">
        <w:rPr>
          <w:rFonts w:ascii="Verdana" w:hAnsi="Verdana"/>
          <w:sz w:val="20"/>
        </w:rPr>
        <w:t>   Es responsabilidad del Participante del Mercado asegurar la creación de Etiquetas Electrónicas, pudiendo ser creados por el Participante del Mercado, el titular de los contratos de Interconexión Legados o por otra entidad de compraventa que participa en la transacción (PSE por sus siglas en inglés). Asimismo, el Participante del Mercado deberá registrar en el Software de Programación Física, los números de cada Etiqueta Electrónica creada en relación con cada clave única. Se podrá asociar más de una Etiqueta Electrónica a una clave única, siempre y cuando la cantidad total de energía en las Etiquetas Electrónicas para cada hora no rebase la cantidad total del programa asignado para la misma hora. En el caso de los Contratos de Interconexión Legados, el Participante del Mercado que tiene esta responsabilidad es el Generador de Intermediación.</w:t>
      </w:r>
    </w:p>
    <w:p w:rsidR="005B2A17" w:rsidRPr="005B2A17" w:rsidRDefault="005B2A17" w:rsidP="005B2A17">
      <w:pPr>
        <w:jc w:val="both"/>
        <w:rPr>
          <w:rFonts w:ascii="Verdana" w:hAnsi="Verdana"/>
          <w:sz w:val="20"/>
        </w:rPr>
      </w:pPr>
      <w:r w:rsidRPr="005B2A17">
        <w:rPr>
          <w:rFonts w:ascii="Verdana" w:hAnsi="Verdana"/>
          <w:b/>
          <w:bCs/>
          <w:sz w:val="20"/>
        </w:rPr>
        <w:t>7.2.2</w:t>
      </w:r>
      <w:r w:rsidRPr="005B2A17">
        <w:rPr>
          <w:rFonts w:ascii="Verdana" w:hAnsi="Verdana"/>
          <w:sz w:val="20"/>
        </w:rPr>
        <w:t>   Las Etiquetas Electrónicas de importación y exportación que no cumplan con lo dispuesto en el presente Capítulo serán rechazadas por el CENACE.</w:t>
      </w:r>
    </w:p>
    <w:p w:rsidR="005B2A17" w:rsidRPr="005B2A17" w:rsidRDefault="005B2A17" w:rsidP="005B2A17">
      <w:pPr>
        <w:jc w:val="both"/>
        <w:rPr>
          <w:rFonts w:ascii="Verdana" w:hAnsi="Verdana"/>
          <w:sz w:val="20"/>
        </w:rPr>
      </w:pPr>
      <w:r w:rsidRPr="005B2A17">
        <w:rPr>
          <w:rFonts w:ascii="Verdana" w:hAnsi="Verdana"/>
          <w:b/>
          <w:bCs/>
          <w:sz w:val="20"/>
        </w:rPr>
        <w:t>7.2.3</w:t>
      </w:r>
      <w:r w:rsidRPr="005B2A17">
        <w:rPr>
          <w:rFonts w:ascii="Verdana" w:hAnsi="Verdana"/>
          <w:sz w:val="20"/>
        </w:rPr>
        <w:t>   El CENACE sólo aceptará las Etiquetas Electrónicas de los Participantes del Mercado que tengan asignaciones en el Mercado del Día en Adelanto y de los programas de importación y exportación que le haya asignado al Generador de Intermediación, siempre y cuando los datos de la Etiqueta Electrónica coincidan con los datos de la transacción asignada y que la cantidad de la Etiqueta Electrónica sea menor o igual a la cantidad asignada en el Mercado del Día en Adelanto.</w:t>
      </w:r>
    </w:p>
    <w:p w:rsidR="005B2A17" w:rsidRPr="005B2A17" w:rsidRDefault="005B2A17" w:rsidP="005B2A17">
      <w:pPr>
        <w:jc w:val="both"/>
        <w:rPr>
          <w:rFonts w:ascii="Verdana" w:hAnsi="Verdana"/>
          <w:sz w:val="20"/>
        </w:rPr>
      </w:pPr>
      <w:r w:rsidRPr="005B2A17">
        <w:rPr>
          <w:rFonts w:ascii="Verdana" w:hAnsi="Verdana"/>
          <w:b/>
          <w:bCs/>
          <w:sz w:val="20"/>
        </w:rPr>
        <w:t>7.2.4</w:t>
      </w:r>
      <w:r w:rsidRPr="005B2A17">
        <w:rPr>
          <w:rFonts w:ascii="Verdana" w:hAnsi="Verdana"/>
          <w:sz w:val="20"/>
        </w:rPr>
        <w:t>   El Generador de Intermediación, pudiendo ser el titular del contrato o a través de tercerías (por proveedores de energía) podrá crear una sola Etiqueta Electrónica donde incluya la programación fija de importación de uno o varios Titulares de Contratos de Interconexión Legado.</w:t>
      </w:r>
    </w:p>
    <w:p w:rsidR="005B2A17" w:rsidRPr="005B2A17" w:rsidRDefault="005B2A17" w:rsidP="005B2A17">
      <w:pPr>
        <w:jc w:val="both"/>
        <w:rPr>
          <w:rFonts w:ascii="Verdana" w:hAnsi="Verdana"/>
          <w:sz w:val="20"/>
        </w:rPr>
      </w:pPr>
      <w:r w:rsidRPr="005B2A17">
        <w:rPr>
          <w:rFonts w:ascii="Verdana" w:hAnsi="Verdana"/>
          <w:b/>
          <w:bCs/>
          <w:sz w:val="20"/>
        </w:rPr>
        <w:t>7.2.5</w:t>
      </w:r>
      <w:r w:rsidRPr="005B2A17">
        <w:rPr>
          <w:rFonts w:ascii="Verdana" w:hAnsi="Verdana"/>
          <w:sz w:val="20"/>
        </w:rPr>
        <w:t>   Las Etiquetas Electrónicas o su equivalente deberán ser enviadas al CENACE y al operador del Sistema Eléctrico Vecino dentro de 3 horas para el sistema eléctrico del CAISO y dentro de 2 horas para el sistema eléctrico del ERCOT a partir de la comunicación oficial, en términos de las reglas correspondientes, de los resultados del Mercado del Día en Adelanto.</w:t>
      </w:r>
    </w:p>
    <w:p w:rsidR="005B2A17" w:rsidRPr="005B2A17" w:rsidRDefault="005B2A17" w:rsidP="005B2A17">
      <w:pPr>
        <w:jc w:val="both"/>
        <w:rPr>
          <w:rFonts w:ascii="Verdana" w:hAnsi="Verdana"/>
          <w:sz w:val="20"/>
        </w:rPr>
      </w:pPr>
      <w:r w:rsidRPr="005B2A17">
        <w:rPr>
          <w:rFonts w:ascii="Verdana" w:hAnsi="Verdana"/>
          <w:b/>
          <w:bCs/>
          <w:sz w:val="20"/>
        </w:rPr>
        <w:t>7.2.6</w:t>
      </w:r>
      <w:r w:rsidRPr="005B2A17">
        <w:rPr>
          <w:rFonts w:ascii="Verdana" w:hAnsi="Verdana"/>
          <w:sz w:val="20"/>
        </w:rPr>
        <w:t>   Cuando una Etiqueta Electrónica no sea implementada o sea reducida:</w:t>
      </w:r>
    </w:p>
    <w:p w:rsidR="005B2A17" w:rsidRPr="005B2A17" w:rsidRDefault="005B2A17" w:rsidP="005B2A17">
      <w:pPr>
        <w:jc w:val="both"/>
        <w:rPr>
          <w:rFonts w:ascii="Verdana" w:hAnsi="Verdana"/>
          <w:sz w:val="20"/>
        </w:rPr>
      </w:pPr>
      <w:r w:rsidRPr="005B2A17">
        <w:rPr>
          <w:rFonts w:ascii="Verdana" w:hAnsi="Verdana"/>
          <w:sz w:val="20"/>
        </w:rPr>
        <w:t>(a)  Si el programa no se implementa debido a un error del CENACE, la posición del Participante del Mercado será cancelada.</w:t>
      </w:r>
    </w:p>
    <w:p w:rsidR="005B2A17" w:rsidRPr="005B2A17" w:rsidRDefault="005B2A17" w:rsidP="005B2A17">
      <w:pPr>
        <w:jc w:val="both"/>
        <w:rPr>
          <w:rFonts w:ascii="Verdana" w:hAnsi="Verdana"/>
          <w:sz w:val="20"/>
        </w:rPr>
      </w:pPr>
      <w:r w:rsidRPr="005B2A17">
        <w:rPr>
          <w:rFonts w:ascii="Verdana" w:hAnsi="Verdana"/>
          <w:sz w:val="20"/>
        </w:rPr>
        <w:t>(b)  Si el Participante del Mercado no envía ninguna Etiqueta Electrónica válida o envía Etiquetas Electrónicas que suman a una cantidad menor a las cantidades asignadas en el Mercado del Día en Adelanto, aplicará lo siguiente:</w:t>
      </w:r>
    </w:p>
    <w:p w:rsidR="005B2A17" w:rsidRPr="005B2A17" w:rsidRDefault="005B2A17" w:rsidP="005B2A17">
      <w:pPr>
        <w:jc w:val="both"/>
        <w:rPr>
          <w:rFonts w:ascii="Verdana" w:hAnsi="Verdana"/>
          <w:sz w:val="20"/>
        </w:rPr>
      </w:pPr>
      <w:r w:rsidRPr="005B2A17">
        <w:rPr>
          <w:rFonts w:ascii="Verdana" w:hAnsi="Verdana"/>
          <w:sz w:val="20"/>
        </w:rPr>
        <w:lastRenderedPageBreak/>
        <w:t> </w:t>
      </w:r>
    </w:p>
    <w:p w:rsidR="005B2A17" w:rsidRPr="005B2A17" w:rsidRDefault="005B2A17" w:rsidP="005B2A17">
      <w:pPr>
        <w:jc w:val="both"/>
        <w:rPr>
          <w:rFonts w:ascii="Verdana" w:hAnsi="Verdana"/>
          <w:sz w:val="20"/>
        </w:rPr>
      </w:pPr>
      <w:r w:rsidRPr="005B2A17">
        <w:rPr>
          <w:rFonts w:ascii="Verdana" w:hAnsi="Verdana"/>
          <w:sz w:val="20"/>
        </w:rPr>
        <w:t>(i)   Las desviaciones entre las cantidades asignadas al Participante de Mercado en del Mercado del Día en Adelanto y las cantidades incluidas en las Etiquetas Electrónicas finales se liquidarán con base en el Precio Marginal Local del Mercado de Tiempo Real, excepto en las horas en las cuales dicha liquidación genere una utilidad para el Participante del Mercado. En dichas horas, las desviaciones se liquidarán con base en </w:t>
      </w:r>
      <w:proofErr w:type="spellStart"/>
      <w:r w:rsidRPr="005B2A17">
        <w:rPr>
          <w:rFonts w:ascii="Verdana" w:hAnsi="Verdana"/>
          <w:sz w:val="20"/>
        </w:rPr>
        <w:t>elPrecio</w:t>
      </w:r>
      <w:proofErr w:type="spellEnd"/>
      <w:r w:rsidRPr="005B2A17">
        <w:rPr>
          <w:rFonts w:ascii="Verdana" w:hAnsi="Verdana"/>
          <w:sz w:val="20"/>
        </w:rPr>
        <w:t xml:space="preserve"> Marginal Local del Mercado del Día en Adelanto.</w:t>
      </w:r>
    </w:p>
    <w:p w:rsidR="005B2A17" w:rsidRPr="005B2A17" w:rsidRDefault="005B2A17" w:rsidP="005B2A17">
      <w:pPr>
        <w:jc w:val="both"/>
        <w:rPr>
          <w:rFonts w:ascii="Verdana" w:hAnsi="Verdana"/>
          <w:sz w:val="20"/>
        </w:rPr>
      </w:pPr>
      <w:r w:rsidRPr="005B2A17">
        <w:rPr>
          <w:rFonts w:ascii="Verdana" w:hAnsi="Verdana"/>
          <w:sz w:val="20"/>
        </w:rPr>
        <w:t xml:space="preserve">(ii)   En caso de que un Participante de Mercado acumule más de 2400 </w:t>
      </w:r>
      <w:proofErr w:type="spellStart"/>
      <w:r w:rsidRPr="005B2A17">
        <w:rPr>
          <w:rFonts w:ascii="Verdana" w:hAnsi="Verdana"/>
          <w:sz w:val="20"/>
        </w:rPr>
        <w:t>MWh</w:t>
      </w:r>
      <w:proofErr w:type="spellEnd"/>
      <w:r w:rsidRPr="005B2A17">
        <w:rPr>
          <w:rFonts w:ascii="Verdana" w:hAnsi="Verdana"/>
          <w:sz w:val="20"/>
        </w:rPr>
        <w:t xml:space="preserve"> de desviaciones en un mes calendario, el CENACE aplicará una penalización de 100 pesos/</w:t>
      </w:r>
      <w:proofErr w:type="spellStart"/>
      <w:r w:rsidRPr="005B2A17">
        <w:rPr>
          <w:rFonts w:ascii="Verdana" w:hAnsi="Verdana"/>
          <w:sz w:val="20"/>
        </w:rPr>
        <w:t>MWh</w:t>
      </w:r>
      <w:proofErr w:type="spellEnd"/>
      <w:r w:rsidRPr="005B2A17">
        <w:rPr>
          <w:rFonts w:ascii="Verdana" w:hAnsi="Verdana"/>
          <w:sz w:val="20"/>
        </w:rPr>
        <w:t xml:space="preserve"> por cada </w:t>
      </w:r>
      <w:proofErr w:type="spellStart"/>
      <w:r w:rsidRPr="005B2A17">
        <w:rPr>
          <w:rFonts w:ascii="Verdana" w:hAnsi="Verdana"/>
          <w:sz w:val="20"/>
        </w:rPr>
        <w:t>MWh</w:t>
      </w:r>
      <w:proofErr w:type="spellEnd"/>
      <w:r w:rsidRPr="005B2A17">
        <w:rPr>
          <w:rFonts w:ascii="Verdana" w:hAnsi="Verdana"/>
          <w:sz w:val="20"/>
        </w:rPr>
        <w:t xml:space="preserve"> en exceso de 2400 </w:t>
      </w:r>
      <w:proofErr w:type="spellStart"/>
      <w:r w:rsidRPr="005B2A17">
        <w:rPr>
          <w:rFonts w:ascii="Verdana" w:hAnsi="Verdana"/>
          <w:sz w:val="20"/>
        </w:rPr>
        <w:t>MWh</w:t>
      </w:r>
      <w:proofErr w:type="spellEnd"/>
      <w:r w:rsidRPr="005B2A17">
        <w:rPr>
          <w:rFonts w:ascii="Verdana" w:hAnsi="Verdana"/>
          <w:sz w:val="20"/>
        </w:rPr>
        <w:t>.</w:t>
      </w:r>
    </w:p>
    <w:p w:rsidR="005B2A17" w:rsidRPr="005B2A17" w:rsidRDefault="005B2A17" w:rsidP="005B2A17">
      <w:pPr>
        <w:jc w:val="both"/>
        <w:rPr>
          <w:rFonts w:ascii="Verdana" w:hAnsi="Verdana"/>
          <w:sz w:val="20"/>
        </w:rPr>
      </w:pPr>
      <w:r w:rsidRPr="005B2A17">
        <w:rPr>
          <w:rFonts w:ascii="Verdana" w:hAnsi="Verdana"/>
          <w:sz w:val="20"/>
        </w:rPr>
        <w:t>(c)  En los demás casos, incluyendo la reducción efectuada por el operador del Sistema Eléctrico Vecino o la reducción por el CENACE debido a requerimientos del sistema, los programas asignados a los Participantes del Mercado en el Mercado del Día en Adelanto seguirá siendo efectiva, y las desviaciones entre estos programas y las cantidades incluidas en la Etiqueta Electrónica final se liquidarán con base en el Precio Marginal Local del Mercado de Tiempo Real.</w:t>
      </w:r>
    </w:p>
    <w:p w:rsidR="005B2A17" w:rsidRPr="005B2A17" w:rsidRDefault="005B2A17" w:rsidP="005B2A17">
      <w:pPr>
        <w:jc w:val="both"/>
        <w:rPr>
          <w:rFonts w:ascii="Verdana" w:hAnsi="Verdana"/>
          <w:sz w:val="20"/>
        </w:rPr>
      </w:pPr>
      <w:r w:rsidRPr="005B2A17">
        <w:rPr>
          <w:rFonts w:ascii="Verdana" w:hAnsi="Verdana"/>
          <w:b/>
          <w:bCs/>
          <w:sz w:val="20"/>
        </w:rPr>
        <w:t>7.2.7</w:t>
      </w:r>
      <w:r w:rsidRPr="005B2A17">
        <w:rPr>
          <w:rFonts w:ascii="Verdana" w:hAnsi="Verdana"/>
          <w:sz w:val="20"/>
        </w:rPr>
        <w:t>   El proceso de implementación de la Etiqueta Electrónica varía dependiendo del Sistema Eléctrico Vecino con el cual se programa la transacción. Estos procesos se describen a continuación.</w:t>
      </w:r>
    </w:p>
    <w:p w:rsidR="005B2A17" w:rsidRPr="005B2A17" w:rsidRDefault="005B2A17" w:rsidP="005B2A17">
      <w:pPr>
        <w:jc w:val="both"/>
        <w:rPr>
          <w:rFonts w:ascii="Verdana" w:hAnsi="Verdana"/>
          <w:sz w:val="20"/>
        </w:rPr>
      </w:pPr>
      <w:r w:rsidRPr="005B2A17">
        <w:rPr>
          <w:rFonts w:ascii="Verdana" w:hAnsi="Verdana"/>
          <w:b/>
          <w:bCs/>
          <w:sz w:val="20"/>
        </w:rPr>
        <w:t>7.2.8</w:t>
      </w:r>
      <w:r w:rsidRPr="005B2A17">
        <w:rPr>
          <w:rFonts w:ascii="Verdana" w:hAnsi="Verdana"/>
          <w:sz w:val="20"/>
        </w:rPr>
        <w:t>   Los Participantes del Mercado solamente podrán presentar una oferta de importación y/o exportación de energía por cada enlace de interconexión comercial durante una misma hora. Los Participantes de Mercado no podrán presentar dos o más ofertas por un mismo enlace de interconexión durante la misma hora.</w:t>
      </w:r>
    </w:p>
    <w:p w:rsidR="005B2A17" w:rsidRPr="005B2A17" w:rsidRDefault="005B2A17" w:rsidP="005B2A17">
      <w:pPr>
        <w:jc w:val="both"/>
        <w:rPr>
          <w:rFonts w:ascii="Verdana" w:hAnsi="Verdana"/>
          <w:sz w:val="20"/>
        </w:rPr>
      </w:pPr>
      <w:r w:rsidRPr="005B2A17">
        <w:rPr>
          <w:rFonts w:ascii="Verdana" w:hAnsi="Verdana"/>
          <w:b/>
          <w:bCs/>
          <w:sz w:val="20"/>
        </w:rPr>
        <w:t>7.2.9</w:t>
      </w:r>
      <w:r w:rsidRPr="005B2A17">
        <w:rPr>
          <w:rFonts w:ascii="Verdana" w:hAnsi="Verdana"/>
          <w:sz w:val="20"/>
        </w:rPr>
        <w:t>   El CENACE aceptará y aprobará dos o más Etiquetas Electrónicas (diferentes proveedores de energías) que constituyan en conjunto una cantidad menor o igual al programa asignado por el CENACE en el Mercado de Día en Adelanto.</w:t>
      </w:r>
    </w:p>
    <w:p w:rsidR="005B2A17" w:rsidRPr="005B2A17" w:rsidRDefault="005B2A17" w:rsidP="005B2A17">
      <w:pPr>
        <w:jc w:val="both"/>
        <w:rPr>
          <w:rFonts w:ascii="Verdana" w:hAnsi="Verdana"/>
          <w:sz w:val="20"/>
        </w:rPr>
      </w:pPr>
      <w:r w:rsidRPr="005B2A17">
        <w:rPr>
          <w:rFonts w:ascii="Verdana" w:hAnsi="Verdana"/>
          <w:b/>
          <w:bCs/>
          <w:sz w:val="20"/>
        </w:rPr>
        <w:t>7.2.10</w:t>
      </w:r>
      <w:r w:rsidRPr="005B2A17">
        <w:rPr>
          <w:rFonts w:ascii="Verdana" w:hAnsi="Verdana"/>
          <w:sz w:val="20"/>
        </w:rPr>
        <w:t xml:space="preserve">  Los Participantes de Mercado podrán pactar con otros </w:t>
      </w:r>
      <w:proofErr w:type="spellStart"/>
      <w:r w:rsidRPr="005B2A17">
        <w:rPr>
          <w:rFonts w:ascii="Verdana" w:hAnsi="Verdana"/>
          <w:sz w:val="20"/>
        </w:rPr>
        <w:t>PSEs</w:t>
      </w:r>
      <w:proofErr w:type="spellEnd"/>
      <w:r w:rsidRPr="005B2A17">
        <w:rPr>
          <w:rFonts w:ascii="Verdana" w:hAnsi="Verdana"/>
          <w:sz w:val="20"/>
        </w:rPr>
        <w:t xml:space="preserve"> (</w:t>
      </w:r>
      <w:proofErr w:type="spellStart"/>
      <w:r w:rsidRPr="005B2A17">
        <w:rPr>
          <w:rFonts w:ascii="Verdana" w:hAnsi="Verdana"/>
          <w:sz w:val="20"/>
        </w:rPr>
        <w:t>Purchasing-Selling</w:t>
      </w:r>
      <w:proofErr w:type="spellEnd"/>
      <w:r w:rsidRPr="005B2A17">
        <w:rPr>
          <w:rFonts w:ascii="Verdana" w:hAnsi="Verdana"/>
          <w:sz w:val="20"/>
        </w:rPr>
        <w:t xml:space="preserve"> </w:t>
      </w:r>
      <w:proofErr w:type="spellStart"/>
      <w:r w:rsidRPr="005B2A17">
        <w:rPr>
          <w:rFonts w:ascii="Verdana" w:hAnsi="Verdana"/>
          <w:sz w:val="20"/>
        </w:rPr>
        <w:t>Entities</w:t>
      </w:r>
      <w:proofErr w:type="spellEnd"/>
      <w:r w:rsidRPr="005B2A17">
        <w:rPr>
          <w:rFonts w:ascii="Verdana" w:hAnsi="Verdana"/>
          <w:sz w:val="20"/>
        </w:rPr>
        <w:t>) para que éstos realicen la creación de la etiqueta electrónica. Toda etiqueta electrónica deberá contener la clave única emitida por el Software de Programación Física a fin de que el CENACE identifique el programa asociado y el Participante del Mercado responsable.</w:t>
      </w:r>
    </w:p>
    <w:p w:rsidR="005B2A17" w:rsidRPr="005B2A17" w:rsidRDefault="005B2A17" w:rsidP="005B2A17">
      <w:pPr>
        <w:jc w:val="both"/>
        <w:rPr>
          <w:rFonts w:ascii="Verdana" w:hAnsi="Verdana"/>
          <w:sz w:val="20"/>
        </w:rPr>
      </w:pPr>
      <w:r w:rsidRPr="005B2A17">
        <w:rPr>
          <w:rFonts w:ascii="Verdana" w:hAnsi="Verdana"/>
          <w:b/>
          <w:bCs/>
          <w:sz w:val="20"/>
        </w:rPr>
        <w:t>7.3</w:t>
      </w:r>
      <w:r w:rsidRPr="005B2A17">
        <w:rPr>
          <w:rFonts w:ascii="Verdana" w:hAnsi="Verdana"/>
          <w:sz w:val="20"/>
        </w:rPr>
        <w:t>      </w:t>
      </w:r>
      <w:r w:rsidRPr="005B2A17">
        <w:rPr>
          <w:rFonts w:ascii="Verdana" w:hAnsi="Verdana"/>
          <w:b/>
          <w:bCs/>
          <w:sz w:val="20"/>
        </w:rPr>
        <w:t>Etiquetas Electrónicas con el sistema eléctrico de ERCOT</w:t>
      </w:r>
    </w:p>
    <w:p w:rsidR="005B2A17" w:rsidRPr="005B2A17" w:rsidRDefault="005B2A17" w:rsidP="005B2A17">
      <w:pPr>
        <w:jc w:val="both"/>
        <w:rPr>
          <w:rFonts w:ascii="Verdana" w:hAnsi="Verdana"/>
          <w:sz w:val="20"/>
        </w:rPr>
      </w:pPr>
      <w:r w:rsidRPr="005B2A17">
        <w:rPr>
          <w:rFonts w:ascii="Verdana" w:hAnsi="Verdana"/>
          <w:b/>
          <w:bCs/>
          <w:sz w:val="20"/>
        </w:rPr>
        <w:t>7.3.1</w:t>
      </w:r>
      <w:r w:rsidRPr="005B2A17">
        <w:rPr>
          <w:rFonts w:ascii="Verdana" w:hAnsi="Verdana"/>
          <w:sz w:val="20"/>
        </w:rPr>
        <w:t>   En la elaboración de las Etiquetas Electrónicas de las transacciones de importación y exportación con el sistema eléctrico de ERCOT se requiere registrar a las siguientes entidades:</w:t>
      </w:r>
    </w:p>
    <w:p w:rsidR="005B2A17" w:rsidRPr="005B2A17" w:rsidRDefault="005B2A17" w:rsidP="005B2A17">
      <w:pPr>
        <w:jc w:val="both"/>
        <w:rPr>
          <w:rFonts w:ascii="Verdana" w:hAnsi="Verdana"/>
          <w:sz w:val="20"/>
        </w:rPr>
      </w:pPr>
      <w:r w:rsidRPr="005B2A17">
        <w:rPr>
          <w:rFonts w:ascii="Verdana" w:hAnsi="Verdana"/>
          <w:sz w:val="20"/>
        </w:rPr>
        <w:t>(a)    Entidades de compraventa involucradas en la transacción, denominadas en EUA como </w:t>
      </w:r>
      <w:proofErr w:type="spellStart"/>
      <w:r w:rsidRPr="005B2A17">
        <w:rPr>
          <w:rFonts w:ascii="Verdana" w:hAnsi="Verdana"/>
          <w:sz w:val="20"/>
        </w:rPr>
        <w:t>Purchasing-Selling</w:t>
      </w:r>
      <w:proofErr w:type="spellEnd"/>
      <w:r w:rsidRPr="005B2A17">
        <w:rPr>
          <w:rFonts w:ascii="Verdana" w:hAnsi="Verdana"/>
          <w:sz w:val="20"/>
        </w:rPr>
        <w:t xml:space="preserve"> </w:t>
      </w:r>
      <w:proofErr w:type="spellStart"/>
      <w:r w:rsidRPr="005B2A17">
        <w:rPr>
          <w:rFonts w:ascii="Verdana" w:hAnsi="Verdana"/>
          <w:sz w:val="20"/>
        </w:rPr>
        <w:t>Entity</w:t>
      </w:r>
      <w:proofErr w:type="spellEnd"/>
      <w:r w:rsidRPr="005B2A17">
        <w:rPr>
          <w:rFonts w:ascii="Verdana" w:hAnsi="Verdana"/>
          <w:sz w:val="20"/>
        </w:rPr>
        <w:t xml:space="preserve"> (PSE).</w:t>
      </w:r>
    </w:p>
    <w:p w:rsidR="005B2A17" w:rsidRPr="005B2A17" w:rsidRDefault="005B2A17" w:rsidP="005B2A17">
      <w:pPr>
        <w:jc w:val="both"/>
        <w:rPr>
          <w:rFonts w:ascii="Verdana" w:hAnsi="Verdana"/>
          <w:sz w:val="20"/>
        </w:rPr>
      </w:pPr>
      <w:r w:rsidRPr="005B2A17">
        <w:rPr>
          <w:rFonts w:ascii="Verdana" w:hAnsi="Verdana"/>
          <w:sz w:val="20"/>
        </w:rPr>
        <w:lastRenderedPageBreak/>
        <w:t xml:space="preserve">(b)    Entidades responsables de balance involucradas en la transacción, denominadas en EUA como </w:t>
      </w:r>
      <w:proofErr w:type="spellStart"/>
      <w:r w:rsidRPr="005B2A17">
        <w:rPr>
          <w:rFonts w:ascii="Verdana" w:hAnsi="Verdana"/>
          <w:sz w:val="20"/>
        </w:rPr>
        <w:t>Balancing</w:t>
      </w:r>
      <w:proofErr w:type="spellEnd"/>
      <w:r w:rsidRPr="005B2A17">
        <w:rPr>
          <w:rFonts w:ascii="Verdana" w:hAnsi="Verdana"/>
          <w:sz w:val="20"/>
        </w:rPr>
        <w:t xml:space="preserve"> </w:t>
      </w:r>
      <w:proofErr w:type="spellStart"/>
      <w:r w:rsidRPr="005B2A17">
        <w:rPr>
          <w:rFonts w:ascii="Verdana" w:hAnsi="Verdana"/>
          <w:sz w:val="20"/>
        </w:rPr>
        <w:t>Authority</w:t>
      </w:r>
      <w:proofErr w:type="spellEnd"/>
      <w:r w:rsidRPr="005B2A17">
        <w:rPr>
          <w:rFonts w:ascii="Verdana" w:hAnsi="Verdana"/>
          <w:sz w:val="20"/>
        </w:rPr>
        <w:t xml:space="preserve"> (BA).</w:t>
      </w:r>
    </w:p>
    <w:p w:rsidR="005B2A17" w:rsidRPr="005B2A17" w:rsidRDefault="005B2A17" w:rsidP="005B2A17">
      <w:pPr>
        <w:jc w:val="both"/>
        <w:rPr>
          <w:rFonts w:ascii="Verdana" w:hAnsi="Verdana"/>
          <w:sz w:val="20"/>
        </w:rPr>
      </w:pPr>
      <w:r w:rsidRPr="005B2A17">
        <w:rPr>
          <w:rFonts w:ascii="Verdana" w:hAnsi="Verdana"/>
          <w:sz w:val="20"/>
        </w:rPr>
        <w:t>(c)  Entidades responsables de operar el servicio de transmisión, denominadas en EUA como </w:t>
      </w:r>
      <w:proofErr w:type="spellStart"/>
      <w:r w:rsidRPr="005B2A17">
        <w:rPr>
          <w:rFonts w:ascii="Verdana" w:hAnsi="Verdana"/>
          <w:sz w:val="20"/>
        </w:rPr>
        <w:t>Transmission</w:t>
      </w:r>
      <w:proofErr w:type="spellEnd"/>
      <w:r w:rsidRPr="005B2A17">
        <w:rPr>
          <w:rFonts w:ascii="Verdana" w:hAnsi="Verdana"/>
          <w:sz w:val="20"/>
        </w:rPr>
        <w:t xml:space="preserve"> </w:t>
      </w:r>
      <w:proofErr w:type="spellStart"/>
      <w:r w:rsidRPr="005B2A17">
        <w:rPr>
          <w:rFonts w:ascii="Verdana" w:hAnsi="Verdana"/>
          <w:sz w:val="20"/>
        </w:rPr>
        <w:t>Provider</w:t>
      </w:r>
      <w:proofErr w:type="spellEnd"/>
      <w:r w:rsidRPr="005B2A17">
        <w:rPr>
          <w:rFonts w:ascii="Verdana" w:hAnsi="Verdana"/>
          <w:sz w:val="20"/>
        </w:rPr>
        <w:t xml:space="preserve"> (TP).</w:t>
      </w:r>
    </w:p>
    <w:p w:rsidR="005B2A17" w:rsidRPr="005B2A17" w:rsidRDefault="005B2A17" w:rsidP="005B2A17">
      <w:pPr>
        <w:jc w:val="both"/>
        <w:rPr>
          <w:rFonts w:ascii="Verdana" w:hAnsi="Verdana"/>
          <w:sz w:val="20"/>
        </w:rPr>
      </w:pPr>
      <w:r w:rsidRPr="005B2A17">
        <w:rPr>
          <w:rFonts w:ascii="Verdana" w:hAnsi="Verdana"/>
          <w:b/>
          <w:bCs/>
          <w:sz w:val="20"/>
        </w:rPr>
        <w:t>7.3.2</w:t>
      </w:r>
      <w:r w:rsidRPr="005B2A17">
        <w:rPr>
          <w:rFonts w:ascii="Verdana" w:hAnsi="Verdana"/>
          <w:sz w:val="20"/>
        </w:rPr>
        <w:t xml:space="preserve">   El CENACE es la entidad en México que realizará la función de </w:t>
      </w:r>
      <w:proofErr w:type="spellStart"/>
      <w:r w:rsidRPr="005B2A17">
        <w:rPr>
          <w:rFonts w:ascii="Verdana" w:hAnsi="Verdana"/>
          <w:sz w:val="20"/>
        </w:rPr>
        <w:t>Balancing</w:t>
      </w:r>
      <w:proofErr w:type="spellEnd"/>
      <w:r w:rsidRPr="005B2A17">
        <w:rPr>
          <w:rFonts w:ascii="Verdana" w:hAnsi="Verdana"/>
          <w:sz w:val="20"/>
        </w:rPr>
        <w:t xml:space="preserve"> </w:t>
      </w:r>
      <w:proofErr w:type="spellStart"/>
      <w:r w:rsidRPr="005B2A17">
        <w:rPr>
          <w:rFonts w:ascii="Verdana" w:hAnsi="Verdana"/>
          <w:sz w:val="20"/>
        </w:rPr>
        <w:t>Authority</w:t>
      </w:r>
      <w:proofErr w:type="spellEnd"/>
      <w:r w:rsidRPr="005B2A17">
        <w:rPr>
          <w:rFonts w:ascii="Verdana" w:hAnsi="Verdana"/>
          <w:sz w:val="20"/>
        </w:rPr>
        <w:t xml:space="preserve"> (BA) y </w:t>
      </w:r>
      <w:proofErr w:type="spellStart"/>
      <w:r w:rsidRPr="005B2A17">
        <w:rPr>
          <w:rFonts w:ascii="Verdana" w:hAnsi="Verdana"/>
          <w:sz w:val="20"/>
        </w:rPr>
        <w:t>Transmission</w:t>
      </w:r>
      <w:proofErr w:type="spellEnd"/>
      <w:r w:rsidRPr="005B2A17">
        <w:rPr>
          <w:rFonts w:ascii="Verdana" w:hAnsi="Verdana"/>
          <w:sz w:val="20"/>
        </w:rPr>
        <w:t xml:space="preserve"> </w:t>
      </w:r>
      <w:proofErr w:type="spellStart"/>
      <w:r w:rsidRPr="005B2A17">
        <w:rPr>
          <w:rFonts w:ascii="Verdana" w:hAnsi="Verdana"/>
          <w:sz w:val="20"/>
        </w:rPr>
        <w:t>Provider</w:t>
      </w:r>
      <w:proofErr w:type="spellEnd"/>
      <w:r w:rsidRPr="005B2A17">
        <w:rPr>
          <w:rFonts w:ascii="Verdana" w:hAnsi="Verdana"/>
          <w:sz w:val="20"/>
        </w:rPr>
        <w:t xml:space="preserve"> (TP) para las interconexiones con los Sistemas Eléctricos Vecinos, además el CENACE podrá obtener la figura de </w:t>
      </w:r>
      <w:proofErr w:type="spellStart"/>
      <w:r w:rsidRPr="005B2A17">
        <w:rPr>
          <w:rFonts w:ascii="Verdana" w:hAnsi="Verdana"/>
          <w:sz w:val="20"/>
        </w:rPr>
        <w:t>Purchasing-Selling</w:t>
      </w:r>
      <w:proofErr w:type="spellEnd"/>
      <w:r w:rsidRPr="005B2A17">
        <w:rPr>
          <w:rFonts w:ascii="Verdana" w:hAnsi="Verdana"/>
          <w:sz w:val="20"/>
        </w:rPr>
        <w:t xml:space="preserve"> </w:t>
      </w:r>
      <w:proofErr w:type="spellStart"/>
      <w:r w:rsidRPr="005B2A17">
        <w:rPr>
          <w:rFonts w:ascii="Verdana" w:hAnsi="Verdana"/>
          <w:sz w:val="20"/>
        </w:rPr>
        <w:t>Entity</w:t>
      </w:r>
      <w:proofErr w:type="spellEnd"/>
      <w:r w:rsidRPr="005B2A17">
        <w:rPr>
          <w:rFonts w:ascii="Verdana" w:hAnsi="Verdana"/>
          <w:sz w:val="20"/>
        </w:rPr>
        <w:t xml:space="preserve"> (PSE) para intercambiar energía con los Sistemas Eléctricos Vecinos cuando se requiera por Confiabilidad y/o Emergencia en cualquier Sistema Eléctrico o en su defecto como resultado de convenios que permitan hacer eficiente el Mercado de Energía y la Operación del Sistema.</w:t>
      </w:r>
    </w:p>
    <w:p w:rsidR="005B2A17" w:rsidRPr="005B2A17" w:rsidRDefault="005B2A17" w:rsidP="005B2A17">
      <w:pPr>
        <w:jc w:val="both"/>
        <w:rPr>
          <w:rFonts w:ascii="Verdana" w:hAnsi="Verdana"/>
          <w:sz w:val="20"/>
        </w:rPr>
      </w:pPr>
      <w:r w:rsidRPr="005B2A17">
        <w:rPr>
          <w:rFonts w:ascii="Verdana" w:hAnsi="Verdana"/>
          <w:b/>
          <w:bCs/>
          <w:sz w:val="20"/>
        </w:rPr>
        <w:t>7.3.3</w:t>
      </w:r>
      <w:r w:rsidRPr="005B2A17">
        <w:rPr>
          <w:rFonts w:ascii="Verdana" w:hAnsi="Verdana"/>
          <w:sz w:val="20"/>
        </w:rPr>
        <w:t>   Para poder implementar Etiquetas Electrónicas de compra o venta de energía con ERCOT, los Participantes del Mercado o las entidades que realicen la creación de etiquetas para ellos deberán cumplir los requisitos impuestos por las autoridades de EEUU para:</w:t>
      </w:r>
    </w:p>
    <w:p w:rsidR="005B2A17" w:rsidRPr="005B2A17" w:rsidRDefault="005B2A17" w:rsidP="005B2A17">
      <w:pPr>
        <w:jc w:val="both"/>
        <w:rPr>
          <w:rFonts w:ascii="Verdana" w:hAnsi="Verdana"/>
          <w:sz w:val="20"/>
        </w:rPr>
      </w:pPr>
      <w:r w:rsidRPr="005B2A17">
        <w:rPr>
          <w:rFonts w:ascii="Verdana" w:hAnsi="Verdana"/>
          <w:sz w:val="20"/>
        </w:rPr>
        <w:t>(a)  tener la figura de PSE;</w:t>
      </w:r>
    </w:p>
    <w:p w:rsidR="005B2A17" w:rsidRPr="005B2A17" w:rsidRDefault="005B2A17" w:rsidP="005B2A17">
      <w:pPr>
        <w:jc w:val="both"/>
        <w:rPr>
          <w:rFonts w:ascii="Verdana" w:hAnsi="Verdana"/>
          <w:sz w:val="20"/>
        </w:rPr>
      </w:pPr>
      <w:r w:rsidRPr="005B2A17">
        <w:rPr>
          <w:rFonts w:ascii="Verdana" w:hAnsi="Verdana"/>
          <w:sz w:val="20"/>
        </w:rPr>
        <w:t>(b)  estar en el Registro de la Industria Eléctrica de EUA (EIR por sus siglas en inglés), y</w:t>
      </w:r>
    </w:p>
    <w:p w:rsidR="005B2A17" w:rsidRPr="005B2A17" w:rsidRDefault="005B2A17" w:rsidP="005B2A17">
      <w:pPr>
        <w:jc w:val="both"/>
        <w:rPr>
          <w:rFonts w:ascii="Verdana" w:hAnsi="Verdana"/>
          <w:sz w:val="20"/>
        </w:rPr>
      </w:pPr>
      <w:r w:rsidRPr="005B2A17">
        <w:rPr>
          <w:rFonts w:ascii="Verdana" w:hAnsi="Verdana"/>
          <w:sz w:val="20"/>
        </w:rPr>
        <w:t>(c)  cumplir con todos los requisitos establecidos por las entidades que regulan las transacciones de energía en EUA.</w:t>
      </w:r>
    </w:p>
    <w:p w:rsidR="005B2A17" w:rsidRPr="005B2A17" w:rsidRDefault="005B2A17" w:rsidP="005B2A17">
      <w:pPr>
        <w:jc w:val="both"/>
        <w:rPr>
          <w:rFonts w:ascii="Verdana" w:hAnsi="Verdana"/>
          <w:sz w:val="20"/>
        </w:rPr>
      </w:pPr>
      <w:r w:rsidRPr="005B2A17">
        <w:rPr>
          <w:rFonts w:ascii="Verdana" w:hAnsi="Verdana"/>
          <w:sz w:val="20"/>
        </w:rPr>
        <w:t> </w:t>
      </w:r>
    </w:p>
    <w:p w:rsidR="005B2A17" w:rsidRPr="005B2A17" w:rsidRDefault="005B2A17" w:rsidP="005B2A17">
      <w:pPr>
        <w:jc w:val="both"/>
        <w:rPr>
          <w:rFonts w:ascii="Verdana" w:hAnsi="Verdana"/>
          <w:sz w:val="20"/>
        </w:rPr>
      </w:pPr>
      <w:r w:rsidRPr="005B2A17">
        <w:rPr>
          <w:rFonts w:ascii="Verdana" w:hAnsi="Verdana"/>
          <w:b/>
          <w:bCs/>
          <w:sz w:val="20"/>
        </w:rPr>
        <w:t>7.3.4</w:t>
      </w:r>
      <w:r w:rsidRPr="005B2A17">
        <w:rPr>
          <w:rFonts w:ascii="Verdana" w:hAnsi="Verdana"/>
          <w:sz w:val="20"/>
        </w:rPr>
        <w:t>   Los Participantes del Mercado o las entidades que realicen la creación de etiquetas para ellos que quieran realizar transacciones de importación y exportación con el sistema eléctrico de ERCOT deberán elaborar las Etiquetas Electrónicas en la aplicación aprobada por ERCOT para tal fin o en acuerdo a los convenios o procedimientos existentes celebrados entre ERCOT y CENACE.</w:t>
      </w:r>
    </w:p>
    <w:p w:rsidR="005B2A17" w:rsidRPr="005B2A17" w:rsidRDefault="005B2A17" w:rsidP="005B2A17">
      <w:pPr>
        <w:jc w:val="both"/>
        <w:rPr>
          <w:rFonts w:ascii="Verdana" w:hAnsi="Verdana"/>
          <w:sz w:val="20"/>
        </w:rPr>
      </w:pPr>
      <w:r w:rsidRPr="005B2A17">
        <w:rPr>
          <w:rFonts w:ascii="Verdana" w:hAnsi="Verdana"/>
          <w:b/>
          <w:bCs/>
          <w:sz w:val="20"/>
        </w:rPr>
        <w:t>7.3.5</w:t>
      </w:r>
      <w:r w:rsidRPr="005B2A17">
        <w:rPr>
          <w:rFonts w:ascii="Verdana" w:hAnsi="Verdana"/>
          <w:sz w:val="20"/>
        </w:rPr>
        <w:t>   Las rampas utilizadas en los Enlaces de Interconexión con ERCOT son las siguientes:</w:t>
      </w:r>
    </w:p>
    <w:tbl>
      <w:tblPr>
        <w:tblW w:w="0" w:type="auto"/>
        <w:tblInd w:w="1260" w:type="dxa"/>
        <w:shd w:val="clear" w:color="auto" w:fill="FFFFFF"/>
        <w:tblCellMar>
          <w:top w:w="15" w:type="dxa"/>
          <w:left w:w="15" w:type="dxa"/>
          <w:bottom w:w="15" w:type="dxa"/>
          <w:right w:w="15" w:type="dxa"/>
        </w:tblCellMar>
        <w:tblLook w:val="04A0" w:firstRow="1" w:lastRow="0" w:firstColumn="1" w:lastColumn="0" w:noHBand="0" w:noVBand="1"/>
      </w:tblPr>
      <w:tblGrid>
        <w:gridCol w:w="3150"/>
        <w:gridCol w:w="2970"/>
      </w:tblGrid>
      <w:tr w:rsidR="005B2A17" w:rsidRPr="005B2A17" w:rsidTr="005B2A17">
        <w:trPr>
          <w:trHeight w:val="370"/>
        </w:trPr>
        <w:tc>
          <w:tcPr>
            <w:tcW w:w="3150"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5B2A17" w:rsidRPr="005B2A17" w:rsidRDefault="005B2A17" w:rsidP="005B2A17">
            <w:pPr>
              <w:jc w:val="both"/>
              <w:rPr>
                <w:rFonts w:ascii="Verdana" w:hAnsi="Verdana"/>
                <w:sz w:val="20"/>
              </w:rPr>
            </w:pPr>
            <w:r w:rsidRPr="005B2A17">
              <w:rPr>
                <w:rFonts w:ascii="Verdana" w:hAnsi="Verdana"/>
                <w:b/>
                <w:bCs/>
                <w:sz w:val="20"/>
              </w:rPr>
              <w:t>Enlace de Interconexión</w:t>
            </w:r>
          </w:p>
        </w:tc>
        <w:tc>
          <w:tcPr>
            <w:tcW w:w="2970"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5B2A17" w:rsidRPr="005B2A17" w:rsidRDefault="005B2A17" w:rsidP="005B2A17">
            <w:pPr>
              <w:jc w:val="both"/>
              <w:rPr>
                <w:rFonts w:ascii="Verdana" w:hAnsi="Verdana"/>
                <w:sz w:val="20"/>
              </w:rPr>
            </w:pPr>
            <w:r w:rsidRPr="005B2A17">
              <w:rPr>
                <w:rFonts w:ascii="Verdana" w:hAnsi="Verdana"/>
                <w:b/>
                <w:bCs/>
                <w:sz w:val="20"/>
              </w:rPr>
              <w:t>Rampa</w:t>
            </w:r>
          </w:p>
        </w:tc>
      </w:tr>
      <w:tr w:rsidR="005B2A17" w:rsidRPr="005B2A17" w:rsidTr="005B2A17">
        <w:trPr>
          <w:trHeight w:val="355"/>
        </w:trPr>
        <w:tc>
          <w:tcPr>
            <w:tcW w:w="31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B2A17" w:rsidRPr="005B2A17" w:rsidRDefault="005B2A17" w:rsidP="005B2A17">
            <w:pPr>
              <w:jc w:val="both"/>
              <w:rPr>
                <w:rFonts w:ascii="Verdana" w:hAnsi="Verdana"/>
                <w:sz w:val="20"/>
              </w:rPr>
            </w:pPr>
            <w:r w:rsidRPr="005B2A17">
              <w:rPr>
                <w:rFonts w:ascii="Verdana" w:hAnsi="Verdana"/>
                <w:sz w:val="20"/>
              </w:rPr>
              <w:t>Cd. Industrial-Laredo</w:t>
            </w:r>
          </w:p>
        </w:tc>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B2A17" w:rsidRPr="005B2A17" w:rsidRDefault="005B2A17" w:rsidP="005B2A17">
            <w:pPr>
              <w:jc w:val="both"/>
              <w:rPr>
                <w:rFonts w:ascii="Verdana" w:hAnsi="Verdana"/>
                <w:sz w:val="20"/>
              </w:rPr>
            </w:pPr>
            <w:r w:rsidRPr="005B2A17">
              <w:rPr>
                <w:rFonts w:ascii="Verdana" w:hAnsi="Verdana"/>
                <w:sz w:val="20"/>
              </w:rPr>
              <w:t>50 MW/min o 2 min</w:t>
            </w:r>
          </w:p>
        </w:tc>
      </w:tr>
      <w:tr w:rsidR="005B2A17" w:rsidRPr="005B2A17" w:rsidTr="005B2A17">
        <w:trPr>
          <w:trHeight w:val="355"/>
        </w:trPr>
        <w:tc>
          <w:tcPr>
            <w:tcW w:w="31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B2A17" w:rsidRPr="005B2A17" w:rsidRDefault="005B2A17" w:rsidP="005B2A17">
            <w:pPr>
              <w:jc w:val="both"/>
              <w:rPr>
                <w:rFonts w:ascii="Verdana" w:hAnsi="Verdana"/>
                <w:sz w:val="20"/>
              </w:rPr>
            </w:pPr>
            <w:proofErr w:type="spellStart"/>
            <w:r w:rsidRPr="005B2A17">
              <w:rPr>
                <w:rFonts w:ascii="Verdana" w:hAnsi="Verdana"/>
                <w:sz w:val="20"/>
              </w:rPr>
              <w:t>CumbresRail</w:t>
            </w:r>
            <w:proofErr w:type="spellEnd"/>
            <w:r w:rsidRPr="005B2A17">
              <w:rPr>
                <w:rFonts w:ascii="Verdana" w:hAnsi="Verdana"/>
                <w:sz w:val="20"/>
              </w:rPr>
              <w:t xml:space="preserve"> Road</w:t>
            </w:r>
          </w:p>
        </w:tc>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B2A17" w:rsidRPr="005B2A17" w:rsidRDefault="005B2A17" w:rsidP="005B2A17">
            <w:pPr>
              <w:jc w:val="both"/>
              <w:rPr>
                <w:rFonts w:ascii="Verdana" w:hAnsi="Verdana"/>
                <w:sz w:val="20"/>
              </w:rPr>
            </w:pPr>
            <w:r w:rsidRPr="005B2A17">
              <w:rPr>
                <w:rFonts w:ascii="Verdana" w:hAnsi="Verdana"/>
                <w:sz w:val="20"/>
              </w:rPr>
              <w:t>50 MW/min o 6 min</w:t>
            </w:r>
          </w:p>
        </w:tc>
      </w:tr>
      <w:tr w:rsidR="005B2A17" w:rsidRPr="005B2A17" w:rsidTr="005B2A17">
        <w:trPr>
          <w:trHeight w:val="370"/>
        </w:trPr>
        <w:tc>
          <w:tcPr>
            <w:tcW w:w="31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B2A17" w:rsidRPr="005B2A17" w:rsidRDefault="005B2A17" w:rsidP="005B2A17">
            <w:pPr>
              <w:jc w:val="both"/>
              <w:rPr>
                <w:rFonts w:ascii="Verdana" w:hAnsi="Verdana"/>
                <w:sz w:val="20"/>
              </w:rPr>
            </w:pPr>
            <w:r w:rsidRPr="005B2A17">
              <w:rPr>
                <w:rFonts w:ascii="Verdana" w:hAnsi="Verdana"/>
                <w:sz w:val="20"/>
              </w:rPr>
              <w:t xml:space="preserve">Piedras </w:t>
            </w:r>
            <w:proofErr w:type="spellStart"/>
            <w:r w:rsidRPr="005B2A17">
              <w:rPr>
                <w:rFonts w:ascii="Verdana" w:hAnsi="Verdana"/>
                <w:sz w:val="20"/>
              </w:rPr>
              <w:t>NegrasEagle</w:t>
            </w:r>
            <w:proofErr w:type="spellEnd"/>
            <w:r w:rsidRPr="005B2A17">
              <w:rPr>
                <w:rFonts w:ascii="Verdana" w:hAnsi="Verdana"/>
                <w:sz w:val="20"/>
              </w:rPr>
              <w:t xml:space="preserve"> Pass</w:t>
            </w:r>
          </w:p>
        </w:tc>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B2A17" w:rsidRPr="005B2A17" w:rsidRDefault="005B2A17" w:rsidP="005B2A17">
            <w:pPr>
              <w:jc w:val="both"/>
              <w:rPr>
                <w:rFonts w:ascii="Verdana" w:hAnsi="Verdana"/>
                <w:sz w:val="20"/>
              </w:rPr>
            </w:pPr>
            <w:r w:rsidRPr="005B2A17">
              <w:rPr>
                <w:rFonts w:ascii="Verdana" w:hAnsi="Verdana"/>
                <w:sz w:val="20"/>
              </w:rPr>
              <w:t>3 MW/min o 10 min</w:t>
            </w:r>
          </w:p>
        </w:tc>
      </w:tr>
    </w:tbl>
    <w:p w:rsidR="005B2A17" w:rsidRPr="005B2A17" w:rsidRDefault="005B2A17" w:rsidP="005B2A17">
      <w:pPr>
        <w:jc w:val="both"/>
        <w:rPr>
          <w:rFonts w:ascii="Verdana" w:hAnsi="Verdana"/>
          <w:sz w:val="20"/>
        </w:rPr>
      </w:pPr>
      <w:r w:rsidRPr="005B2A17">
        <w:rPr>
          <w:rFonts w:ascii="Verdana" w:hAnsi="Verdana"/>
          <w:sz w:val="20"/>
        </w:rPr>
        <w:t> </w:t>
      </w:r>
    </w:p>
    <w:p w:rsidR="005B2A17" w:rsidRPr="005B2A17" w:rsidRDefault="005B2A17" w:rsidP="005B2A17">
      <w:pPr>
        <w:jc w:val="both"/>
        <w:rPr>
          <w:rFonts w:ascii="Verdana" w:hAnsi="Verdana"/>
          <w:sz w:val="20"/>
        </w:rPr>
      </w:pPr>
      <w:r w:rsidRPr="005B2A17">
        <w:rPr>
          <w:rFonts w:ascii="Verdana" w:hAnsi="Verdana"/>
          <w:b/>
          <w:bCs/>
          <w:sz w:val="20"/>
        </w:rPr>
        <w:lastRenderedPageBreak/>
        <w:t>7.3.6</w:t>
      </w:r>
      <w:r w:rsidRPr="005B2A17">
        <w:rPr>
          <w:rFonts w:ascii="Verdana" w:hAnsi="Verdana"/>
          <w:sz w:val="20"/>
        </w:rPr>
        <w:t>   Los Puntos de Entrega/Recepción acordados y que se deben registrar en las Etiquetas Electrónicas de las importaciones y exportaciones con el sistema eléctrico de ERCOT se describen en la siguiente tabla:</w:t>
      </w:r>
    </w:p>
    <w:tbl>
      <w:tblPr>
        <w:tblW w:w="0" w:type="auto"/>
        <w:tblInd w:w="914" w:type="dxa"/>
        <w:shd w:val="clear" w:color="auto" w:fill="FFFFFF"/>
        <w:tblCellMar>
          <w:top w:w="15" w:type="dxa"/>
          <w:left w:w="15" w:type="dxa"/>
          <w:bottom w:w="15" w:type="dxa"/>
          <w:right w:w="15" w:type="dxa"/>
        </w:tblCellMar>
        <w:tblLook w:val="04A0" w:firstRow="1" w:lastRow="0" w:firstColumn="1" w:lastColumn="0" w:noHBand="0" w:noVBand="1"/>
      </w:tblPr>
      <w:tblGrid>
        <w:gridCol w:w="890"/>
        <w:gridCol w:w="1694"/>
        <w:gridCol w:w="1080"/>
        <w:gridCol w:w="1336"/>
        <w:gridCol w:w="1686"/>
        <w:gridCol w:w="1354"/>
      </w:tblGrid>
      <w:tr w:rsidR="005B2A17" w:rsidRPr="005B2A17" w:rsidTr="005B2A17">
        <w:trPr>
          <w:trHeight w:val="1072"/>
        </w:trPr>
        <w:tc>
          <w:tcPr>
            <w:tcW w:w="765" w:type="dxa"/>
            <w:tcBorders>
              <w:top w:val="single" w:sz="6" w:space="0" w:color="000000"/>
              <w:left w:val="single" w:sz="6" w:space="0" w:color="000000"/>
              <w:bottom w:val="single" w:sz="6" w:space="0" w:color="000000"/>
              <w:right w:val="single" w:sz="6" w:space="0" w:color="000000"/>
            </w:tcBorders>
            <w:shd w:val="clear" w:color="auto" w:fill="E0E0E0"/>
            <w:tcMar>
              <w:top w:w="15" w:type="dxa"/>
              <w:left w:w="58" w:type="dxa"/>
              <w:bottom w:w="15" w:type="dxa"/>
              <w:right w:w="58" w:type="dxa"/>
            </w:tcMar>
            <w:vAlign w:val="center"/>
            <w:hideMark/>
          </w:tcPr>
          <w:p w:rsidR="005B2A17" w:rsidRPr="005B2A17" w:rsidRDefault="005B2A17" w:rsidP="005B2A17">
            <w:pPr>
              <w:jc w:val="both"/>
              <w:rPr>
                <w:rFonts w:ascii="Verdana" w:hAnsi="Verdana"/>
                <w:sz w:val="20"/>
              </w:rPr>
            </w:pPr>
            <w:r w:rsidRPr="005B2A17">
              <w:rPr>
                <w:rFonts w:ascii="Verdana" w:hAnsi="Verdana"/>
                <w:b/>
                <w:bCs/>
                <w:sz w:val="20"/>
              </w:rPr>
              <w:t>Región</w:t>
            </w:r>
          </w:p>
        </w:tc>
        <w:tc>
          <w:tcPr>
            <w:tcW w:w="1561" w:type="dxa"/>
            <w:tcBorders>
              <w:top w:val="single" w:sz="6" w:space="0" w:color="000000"/>
              <w:left w:val="single" w:sz="6" w:space="0" w:color="000000"/>
              <w:bottom w:val="single" w:sz="6" w:space="0" w:color="000000"/>
              <w:right w:val="single" w:sz="6" w:space="0" w:color="000000"/>
            </w:tcBorders>
            <w:shd w:val="clear" w:color="auto" w:fill="E0E0E0"/>
            <w:tcMar>
              <w:top w:w="15" w:type="dxa"/>
              <w:left w:w="58" w:type="dxa"/>
              <w:bottom w:w="15" w:type="dxa"/>
              <w:right w:w="58" w:type="dxa"/>
            </w:tcMar>
            <w:vAlign w:val="center"/>
            <w:hideMark/>
          </w:tcPr>
          <w:p w:rsidR="005B2A17" w:rsidRPr="005B2A17" w:rsidRDefault="005B2A17" w:rsidP="005B2A17">
            <w:pPr>
              <w:jc w:val="both"/>
              <w:rPr>
                <w:rFonts w:ascii="Verdana" w:hAnsi="Verdana"/>
                <w:sz w:val="20"/>
              </w:rPr>
            </w:pPr>
            <w:r w:rsidRPr="005B2A17">
              <w:rPr>
                <w:rFonts w:ascii="Verdana" w:hAnsi="Verdana"/>
                <w:b/>
                <w:bCs/>
                <w:sz w:val="20"/>
              </w:rPr>
              <w:t>Enlace de</w:t>
            </w:r>
            <w:r w:rsidRPr="005B2A17">
              <w:rPr>
                <w:rFonts w:ascii="Verdana" w:hAnsi="Verdana"/>
                <w:sz w:val="20"/>
              </w:rPr>
              <w:br/>
            </w:r>
            <w:r w:rsidRPr="005B2A17">
              <w:rPr>
                <w:rFonts w:ascii="Verdana" w:hAnsi="Verdana"/>
                <w:b/>
                <w:bCs/>
                <w:sz w:val="20"/>
              </w:rPr>
              <w:t>Interconexión</w:t>
            </w:r>
          </w:p>
        </w:tc>
        <w:tc>
          <w:tcPr>
            <w:tcW w:w="1139" w:type="dxa"/>
            <w:tcBorders>
              <w:top w:val="single" w:sz="6" w:space="0" w:color="000000"/>
              <w:left w:val="single" w:sz="6" w:space="0" w:color="000000"/>
              <w:bottom w:val="single" w:sz="6" w:space="0" w:color="000000"/>
              <w:right w:val="single" w:sz="6" w:space="0" w:color="000000"/>
            </w:tcBorders>
            <w:shd w:val="clear" w:color="auto" w:fill="E0E0E0"/>
            <w:tcMar>
              <w:top w:w="15" w:type="dxa"/>
              <w:left w:w="58" w:type="dxa"/>
              <w:bottom w:w="15" w:type="dxa"/>
              <w:right w:w="58" w:type="dxa"/>
            </w:tcMar>
            <w:vAlign w:val="center"/>
            <w:hideMark/>
          </w:tcPr>
          <w:p w:rsidR="005B2A17" w:rsidRPr="005B2A17" w:rsidRDefault="005B2A17" w:rsidP="005B2A17">
            <w:pPr>
              <w:jc w:val="both"/>
              <w:rPr>
                <w:rFonts w:ascii="Verdana" w:hAnsi="Verdana"/>
                <w:sz w:val="20"/>
              </w:rPr>
            </w:pPr>
            <w:r w:rsidRPr="005B2A17">
              <w:rPr>
                <w:rFonts w:ascii="Verdana" w:hAnsi="Verdana"/>
                <w:b/>
                <w:bCs/>
                <w:sz w:val="20"/>
              </w:rPr>
              <w:t>Sistema</w:t>
            </w:r>
            <w:r w:rsidRPr="005B2A17">
              <w:rPr>
                <w:rFonts w:ascii="Verdana" w:hAnsi="Verdana"/>
                <w:sz w:val="20"/>
              </w:rPr>
              <w:br/>
            </w:r>
            <w:r w:rsidRPr="005B2A17">
              <w:rPr>
                <w:rFonts w:ascii="Verdana" w:hAnsi="Verdana"/>
                <w:b/>
                <w:bCs/>
                <w:sz w:val="20"/>
              </w:rPr>
              <w:t>Eléctrico</w:t>
            </w:r>
            <w:r w:rsidRPr="005B2A17">
              <w:rPr>
                <w:rFonts w:ascii="Verdana" w:hAnsi="Verdana"/>
                <w:sz w:val="20"/>
              </w:rPr>
              <w:br/>
            </w:r>
            <w:r w:rsidRPr="005B2A17">
              <w:rPr>
                <w:rFonts w:ascii="Verdana" w:hAnsi="Verdana"/>
                <w:b/>
                <w:bCs/>
                <w:sz w:val="20"/>
              </w:rPr>
              <w:t>Vecino-País</w:t>
            </w:r>
          </w:p>
        </w:tc>
        <w:tc>
          <w:tcPr>
            <w:tcW w:w="1606" w:type="dxa"/>
            <w:tcBorders>
              <w:top w:val="single" w:sz="6" w:space="0" w:color="000000"/>
              <w:left w:val="single" w:sz="6" w:space="0" w:color="000000"/>
              <w:bottom w:val="single" w:sz="6" w:space="0" w:color="000000"/>
              <w:right w:val="single" w:sz="6" w:space="0" w:color="000000"/>
            </w:tcBorders>
            <w:shd w:val="clear" w:color="auto" w:fill="E0E0E0"/>
            <w:tcMar>
              <w:top w:w="15" w:type="dxa"/>
              <w:left w:w="58" w:type="dxa"/>
              <w:bottom w:w="15" w:type="dxa"/>
              <w:right w:w="58" w:type="dxa"/>
            </w:tcMar>
            <w:vAlign w:val="center"/>
            <w:hideMark/>
          </w:tcPr>
          <w:p w:rsidR="005B2A17" w:rsidRPr="005B2A17" w:rsidRDefault="005B2A17" w:rsidP="005B2A17">
            <w:pPr>
              <w:jc w:val="both"/>
              <w:rPr>
                <w:rFonts w:ascii="Verdana" w:hAnsi="Verdana"/>
                <w:sz w:val="20"/>
              </w:rPr>
            </w:pPr>
            <w:r w:rsidRPr="005B2A17">
              <w:rPr>
                <w:rFonts w:ascii="Verdana" w:hAnsi="Verdana"/>
                <w:b/>
                <w:bCs/>
                <w:sz w:val="20"/>
              </w:rPr>
              <w:t>Punto de Entrega/</w:t>
            </w:r>
            <w:r w:rsidRPr="005B2A17">
              <w:rPr>
                <w:rFonts w:ascii="Verdana" w:hAnsi="Verdana"/>
                <w:sz w:val="20"/>
              </w:rPr>
              <w:br/>
            </w:r>
            <w:r w:rsidRPr="005B2A17">
              <w:rPr>
                <w:rFonts w:ascii="Verdana" w:hAnsi="Verdana"/>
                <w:b/>
                <w:bCs/>
                <w:sz w:val="20"/>
              </w:rPr>
              <w:t>Recepción para</w:t>
            </w:r>
            <w:r w:rsidRPr="005B2A17">
              <w:rPr>
                <w:rFonts w:ascii="Verdana" w:hAnsi="Verdana"/>
                <w:sz w:val="20"/>
              </w:rPr>
              <w:br/>
            </w:r>
            <w:r w:rsidRPr="005B2A17">
              <w:rPr>
                <w:rFonts w:ascii="Verdana" w:hAnsi="Verdana"/>
                <w:b/>
                <w:bCs/>
                <w:sz w:val="20"/>
              </w:rPr>
              <w:t>liquidación del</w:t>
            </w:r>
            <w:r w:rsidRPr="005B2A17">
              <w:rPr>
                <w:rFonts w:ascii="Verdana" w:hAnsi="Verdana"/>
                <w:sz w:val="20"/>
              </w:rPr>
              <w:br/>
            </w:r>
            <w:r w:rsidRPr="005B2A17">
              <w:rPr>
                <w:rFonts w:ascii="Verdana" w:hAnsi="Verdana"/>
                <w:b/>
                <w:bCs/>
                <w:sz w:val="20"/>
              </w:rPr>
              <w:t>MEM</w:t>
            </w:r>
          </w:p>
        </w:tc>
        <w:tc>
          <w:tcPr>
            <w:tcW w:w="1248" w:type="dxa"/>
            <w:tcBorders>
              <w:top w:val="single" w:sz="6" w:space="0" w:color="000000"/>
              <w:left w:val="single" w:sz="6" w:space="0" w:color="000000"/>
              <w:bottom w:val="single" w:sz="6" w:space="0" w:color="000000"/>
              <w:right w:val="single" w:sz="6" w:space="0" w:color="000000"/>
            </w:tcBorders>
            <w:shd w:val="clear" w:color="auto" w:fill="E0E0E0"/>
            <w:tcMar>
              <w:top w:w="15" w:type="dxa"/>
              <w:left w:w="58" w:type="dxa"/>
              <w:bottom w:w="15" w:type="dxa"/>
              <w:right w:w="58" w:type="dxa"/>
            </w:tcMar>
            <w:vAlign w:val="center"/>
            <w:hideMark/>
          </w:tcPr>
          <w:p w:rsidR="005B2A17" w:rsidRPr="005B2A17" w:rsidRDefault="005B2A17" w:rsidP="005B2A17">
            <w:pPr>
              <w:jc w:val="both"/>
              <w:rPr>
                <w:rFonts w:ascii="Verdana" w:hAnsi="Verdana"/>
                <w:sz w:val="20"/>
              </w:rPr>
            </w:pPr>
            <w:r w:rsidRPr="005B2A17">
              <w:rPr>
                <w:rFonts w:ascii="Verdana" w:hAnsi="Verdana"/>
                <w:b/>
                <w:bCs/>
                <w:sz w:val="20"/>
              </w:rPr>
              <w:t>Nomenclatura</w:t>
            </w:r>
          </w:p>
        </w:tc>
        <w:tc>
          <w:tcPr>
            <w:tcW w:w="1583" w:type="dxa"/>
            <w:tcBorders>
              <w:top w:val="single" w:sz="6" w:space="0" w:color="000000"/>
              <w:left w:val="single" w:sz="6" w:space="0" w:color="000000"/>
              <w:bottom w:val="single" w:sz="6" w:space="0" w:color="000000"/>
              <w:right w:val="single" w:sz="6" w:space="0" w:color="000000"/>
            </w:tcBorders>
            <w:shd w:val="clear" w:color="auto" w:fill="E0E0E0"/>
            <w:tcMar>
              <w:top w:w="15" w:type="dxa"/>
              <w:left w:w="58" w:type="dxa"/>
              <w:bottom w:w="15" w:type="dxa"/>
              <w:right w:w="58" w:type="dxa"/>
            </w:tcMar>
            <w:vAlign w:val="center"/>
            <w:hideMark/>
          </w:tcPr>
          <w:p w:rsidR="005B2A17" w:rsidRPr="005B2A17" w:rsidRDefault="005B2A17" w:rsidP="005B2A17">
            <w:pPr>
              <w:jc w:val="both"/>
              <w:rPr>
                <w:rFonts w:ascii="Verdana" w:hAnsi="Verdana"/>
                <w:sz w:val="20"/>
              </w:rPr>
            </w:pPr>
            <w:r w:rsidRPr="005B2A17">
              <w:rPr>
                <w:rFonts w:ascii="Verdana" w:hAnsi="Verdana"/>
                <w:b/>
                <w:bCs/>
                <w:sz w:val="20"/>
              </w:rPr>
              <w:t>Punto de Entrega/</w:t>
            </w:r>
            <w:r w:rsidRPr="005B2A17">
              <w:rPr>
                <w:rFonts w:ascii="Verdana" w:hAnsi="Verdana"/>
                <w:sz w:val="20"/>
              </w:rPr>
              <w:br/>
            </w:r>
            <w:r w:rsidRPr="005B2A17">
              <w:rPr>
                <w:rFonts w:ascii="Verdana" w:hAnsi="Verdana"/>
                <w:b/>
                <w:bCs/>
                <w:sz w:val="20"/>
              </w:rPr>
              <w:t>Recepción para</w:t>
            </w:r>
            <w:r w:rsidRPr="005B2A17">
              <w:rPr>
                <w:rFonts w:ascii="Verdana" w:hAnsi="Verdana"/>
                <w:sz w:val="20"/>
              </w:rPr>
              <w:br/>
            </w:r>
            <w:r w:rsidRPr="005B2A17">
              <w:rPr>
                <w:rFonts w:ascii="Verdana" w:hAnsi="Verdana"/>
                <w:b/>
                <w:bCs/>
                <w:sz w:val="20"/>
              </w:rPr>
              <w:t>Etiqueta</w:t>
            </w:r>
            <w:r w:rsidRPr="005B2A17">
              <w:rPr>
                <w:rFonts w:ascii="Verdana" w:hAnsi="Verdana"/>
                <w:sz w:val="20"/>
              </w:rPr>
              <w:br/>
            </w:r>
            <w:r w:rsidRPr="005B2A17">
              <w:rPr>
                <w:rFonts w:ascii="Verdana" w:hAnsi="Verdana"/>
                <w:b/>
                <w:bCs/>
                <w:sz w:val="20"/>
              </w:rPr>
              <w:t>Electrónica</w:t>
            </w:r>
          </w:p>
        </w:tc>
      </w:tr>
      <w:tr w:rsidR="005B2A17" w:rsidRPr="005B2A17" w:rsidTr="005B2A17">
        <w:trPr>
          <w:trHeight w:val="589"/>
        </w:trPr>
        <w:tc>
          <w:tcPr>
            <w:tcW w:w="765" w:type="dxa"/>
            <w:vMerge w:val="restart"/>
            <w:tcBorders>
              <w:top w:val="single" w:sz="6" w:space="0" w:color="000000"/>
              <w:left w:val="single" w:sz="6" w:space="0" w:color="000000"/>
              <w:right w:val="single" w:sz="6" w:space="0" w:color="000000"/>
            </w:tcBorders>
            <w:shd w:val="clear" w:color="auto" w:fill="FFFFFF"/>
            <w:tcMar>
              <w:top w:w="15" w:type="dxa"/>
              <w:left w:w="58" w:type="dxa"/>
              <w:bottom w:w="15" w:type="dxa"/>
              <w:right w:w="58"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Noreste</w:t>
            </w:r>
          </w:p>
        </w:tc>
        <w:tc>
          <w:tcPr>
            <w:tcW w:w="15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58" w:type="dxa"/>
              <w:bottom w:w="15" w:type="dxa"/>
              <w:right w:w="58"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Cd. Industrial-</w:t>
            </w:r>
            <w:r w:rsidRPr="005B2A17">
              <w:rPr>
                <w:rFonts w:ascii="Verdana" w:hAnsi="Verdana"/>
                <w:sz w:val="20"/>
              </w:rPr>
              <w:br/>
              <w:t>Laredo</w:t>
            </w:r>
          </w:p>
        </w:tc>
        <w:tc>
          <w:tcPr>
            <w:tcW w:w="11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58" w:type="dxa"/>
              <w:bottom w:w="15" w:type="dxa"/>
              <w:right w:w="58"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ERCOT-EUA</w:t>
            </w:r>
          </w:p>
        </w:tc>
        <w:tc>
          <w:tcPr>
            <w:tcW w:w="1606" w:type="dxa"/>
            <w:tcBorders>
              <w:top w:val="single" w:sz="6" w:space="0" w:color="000000"/>
              <w:left w:val="single" w:sz="6" w:space="0" w:color="000000"/>
              <w:bottom w:val="single" w:sz="6" w:space="0" w:color="000000"/>
              <w:right w:val="single" w:sz="6" w:space="0" w:color="000000"/>
            </w:tcBorders>
            <w:shd w:val="clear" w:color="auto" w:fill="FFFFFF"/>
            <w:tcMar>
              <w:top w:w="15" w:type="dxa"/>
              <w:left w:w="58" w:type="dxa"/>
              <w:bottom w:w="15" w:type="dxa"/>
              <w:right w:w="58"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Cd. Industrial</w:t>
            </w:r>
          </w:p>
        </w:tc>
        <w:tc>
          <w:tcPr>
            <w:tcW w:w="12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58" w:type="dxa"/>
              <w:bottom w:w="15" w:type="dxa"/>
              <w:right w:w="58"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CID</w:t>
            </w:r>
          </w:p>
        </w:tc>
        <w:tc>
          <w:tcPr>
            <w:tcW w:w="1583" w:type="dxa"/>
            <w:tcBorders>
              <w:top w:val="single" w:sz="6" w:space="0" w:color="000000"/>
              <w:left w:val="single" w:sz="6" w:space="0" w:color="000000"/>
              <w:bottom w:val="single" w:sz="6" w:space="0" w:color="000000"/>
              <w:right w:val="single" w:sz="6" w:space="0" w:color="000000"/>
            </w:tcBorders>
            <w:shd w:val="clear" w:color="auto" w:fill="FFFFFF"/>
            <w:tcMar>
              <w:top w:w="15" w:type="dxa"/>
              <w:left w:w="58" w:type="dxa"/>
              <w:bottom w:w="15" w:type="dxa"/>
              <w:right w:w="58"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LAR_VFT</w:t>
            </w:r>
          </w:p>
        </w:tc>
      </w:tr>
      <w:tr w:rsidR="005B2A17" w:rsidRPr="005B2A17" w:rsidTr="005B2A17">
        <w:trPr>
          <w:trHeight w:val="355"/>
        </w:trPr>
        <w:tc>
          <w:tcPr>
            <w:tcW w:w="0" w:type="auto"/>
            <w:vMerge/>
            <w:tcBorders>
              <w:top w:val="single" w:sz="6" w:space="0" w:color="000000"/>
              <w:left w:val="single" w:sz="6" w:space="0" w:color="000000"/>
              <w:right w:val="single" w:sz="6" w:space="0" w:color="000000"/>
            </w:tcBorders>
            <w:shd w:val="clear" w:color="auto" w:fill="FFFFFF"/>
            <w:vAlign w:val="center"/>
            <w:hideMark/>
          </w:tcPr>
          <w:p w:rsidR="005B2A17" w:rsidRPr="005B2A17" w:rsidRDefault="005B2A17" w:rsidP="005B2A17">
            <w:pPr>
              <w:jc w:val="both"/>
              <w:rPr>
                <w:rFonts w:ascii="Verdana" w:hAnsi="Verdana"/>
                <w:sz w:val="20"/>
              </w:rPr>
            </w:pPr>
          </w:p>
        </w:tc>
        <w:tc>
          <w:tcPr>
            <w:tcW w:w="15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58" w:type="dxa"/>
              <w:bottom w:w="15" w:type="dxa"/>
              <w:right w:w="58" w:type="dxa"/>
            </w:tcMar>
            <w:vAlign w:val="center"/>
            <w:hideMark/>
          </w:tcPr>
          <w:p w:rsidR="005B2A17" w:rsidRPr="005B2A17" w:rsidRDefault="005B2A17" w:rsidP="005B2A17">
            <w:pPr>
              <w:jc w:val="both"/>
              <w:rPr>
                <w:rFonts w:ascii="Verdana" w:hAnsi="Verdana"/>
                <w:sz w:val="20"/>
              </w:rPr>
            </w:pPr>
            <w:proofErr w:type="spellStart"/>
            <w:r w:rsidRPr="005B2A17">
              <w:rPr>
                <w:rFonts w:ascii="Verdana" w:hAnsi="Verdana"/>
                <w:sz w:val="20"/>
              </w:rPr>
              <w:t>CumbresRail</w:t>
            </w:r>
            <w:proofErr w:type="spellEnd"/>
            <w:r w:rsidRPr="005B2A17">
              <w:rPr>
                <w:rFonts w:ascii="Verdana" w:hAnsi="Verdana"/>
                <w:sz w:val="20"/>
              </w:rPr>
              <w:t xml:space="preserve"> Road</w:t>
            </w:r>
          </w:p>
        </w:tc>
        <w:tc>
          <w:tcPr>
            <w:tcW w:w="11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58" w:type="dxa"/>
              <w:bottom w:w="15" w:type="dxa"/>
              <w:right w:w="58"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ERCOT-EUA</w:t>
            </w:r>
          </w:p>
        </w:tc>
        <w:tc>
          <w:tcPr>
            <w:tcW w:w="1606" w:type="dxa"/>
            <w:tcBorders>
              <w:top w:val="single" w:sz="6" w:space="0" w:color="000000"/>
              <w:left w:val="single" w:sz="6" w:space="0" w:color="000000"/>
              <w:bottom w:val="single" w:sz="6" w:space="0" w:color="000000"/>
              <w:right w:val="single" w:sz="6" w:space="0" w:color="000000"/>
            </w:tcBorders>
            <w:shd w:val="clear" w:color="auto" w:fill="FFFFFF"/>
            <w:tcMar>
              <w:top w:w="15" w:type="dxa"/>
              <w:left w:w="58" w:type="dxa"/>
              <w:bottom w:w="15" w:type="dxa"/>
              <w:right w:w="58"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Cumbres Frontera</w:t>
            </w:r>
          </w:p>
        </w:tc>
        <w:tc>
          <w:tcPr>
            <w:tcW w:w="12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58" w:type="dxa"/>
              <w:bottom w:w="15" w:type="dxa"/>
              <w:right w:w="58"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CUF</w:t>
            </w:r>
          </w:p>
        </w:tc>
        <w:tc>
          <w:tcPr>
            <w:tcW w:w="1583" w:type="dxa"/>
            <w:tcBorders>
              <w:top w:val="single" w:sz="6" w:space="0" w:color="000000"/>
              <w:left w:val="single" w:sz="6" w:space="0" w:color="000000"/>
              <w:bottom w:val="single" w:sz="6" w:space="0" w:color="000000"/>
              <w:right w:val="single" w:sz="6" w:space="0" w:color="000000"/>
            </w:tcBorders>
            <w:shd w:val="clear" w:color="auto" w:fill="FFFFFF"/>
            <w:tcMar>
              <w:top w:w="15" w:type="dxa"/>
              <w:left w:w="58" w:type="dxa"/>
              <w:bottom w:w="15" w:type="dxa"/>
              <w:right w:w="58"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ROAD_DC</w:t>
            </w:r>
          </w:p>
        </w:tc>
      </w:tr>
      <w:tr w:rsidR="005B2A17" w:rsidRPr="005B2A17" w:rsidTr="005B2A17">
        <w:trPr>
          <w:trHeight w:val="604"/>
        </w:trPr>
        <w:tc>
          <w:tcPr>
            <w:tcW w:w="0" w:type="auto"/>
            <w:vMerge/>
            <w:tcBorders>
              <w:top w:val="single" w:sz="6" w:space="0" w:color="000000"/>
              <w:left w:val="single" w:sz="6" w:space="0" w:color="000000"/>
              <w:right w:val="single" w:sz="6" w:space="0" w:color="000000"/>
            </w:tcBorders>
            <w:shd w:val="clear" w:color="auto" w:fill="FFFFFF"/>
            <w:vAlign w:val="center"/>
            <w:hideMark/>
          </w:tcPr>
          <w:p w:rsidR="005B2A17" w:rsidRPr="005B2A17" w:rsidRDefault="005B2A17" w:rsidP="005B2A17">
            <w:pPr>
              <w:jc w:val="both"/>
              <w:rPr>
                <w:rFonts w:ascii="Verdana" w:hAnsi="Verdana"/>
                <w:sz w:val="20"/>
              </w:rPr>
            </w:pPr>
          </w:p>
        </w:tc>
        <w:tc>
          <w:tcPr>
            <w:tcW w:w="15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58" w:type="dxa"/>
              <w:bottom w:w="15" w:type="dxa"/>
              <w:right w:w="58"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Piedras Negras</w:t>
            </w:r>
            <w:r w:rsidRPr="005B2A17">
              <w:rPr>
                <w:rFonts w:ascii="Verdana" w:hAnsi="Verdana"/>
                <w:sz w:val="20"/>
              </w:rPr>
              <w:br/>
              <w:t>Eagle Pass</w:t>
            </w:r>
          </w:p>
        </w:tc>
        <w:tc>
          <w:tcPr>
            <w:tcW w:w="11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58" w:type="dxa"/>
              <w:bottom w:w="15" w:type="dxa"/>
              <w:right w:w="58"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ERCOT-EUA</w:t>
            </w:r>
          </w:p>
        </w:tc>
        <w:tc>
          <w:tcPr>
            <w:tcW w:w="1606" w:type="dxa"/>
            <w:tcBorders>
              <w:top w:val="single" w:sz="6" w:space="0" w:color="000000"/>
              <w:left w:val="single" w:sz="6" w:space="0" w:color="000000"/>
              <w:bottom w:val="single" w:sz="6" w:space="0" w:color="000000"/>
              <w:right w:val="single" w:sz="6" w:space="0" w:color="000000"/>
            </w:tcBorders>
            <w:shd w:val="clear" w:color="auto" w:fill="FFFFFF"/>
            <w:tcMar>
              <w:top w:w="15" w:type="dxa"/>
              <w:left w:w="58" w:type="dxa"/>
              <w:bottom w:w="15" w:type="dxa"/>
              <w:right w:w="58"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Piedras Negras</w:t>
            </w:r>
          </w:p>
        </w:tc>
        <w:tc>
          <w:tcPr>
            <w:tcW w:w="12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58" w:type="dxa"/>
              <w:bottom w:w="15" w:type="dxa"/>
              <w:right w:w="58"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PNE</w:t>
            </w:r>
          </w:p>
        </w:tc>
        <w:tc>
          <w:tcPr>
            <w:tcW w:w="1583" w:type="dxa"/>
            <w:tcBorders>
              <w:top w:val="single" w:sz="6" w:space="0" w:color="000000"/>
              <w:left w:val="single" w:sz="6" w:space="0" w:color="000000"/>
              <w:bottom w:val="single" w:sz="6" w:space="0" w:color="000000"/>
              <w:right w:val="single" w:sz="6" w:space="0" w:color="000000"/>
            </w:tcBorders>
            <w:shd w:val="clear" w:color="auto" w:fill="FFFFFF"/>
            <w:tcMar>
              <w:top w:w="15" w:type="dxa"/>
              <w:left w:w="58" w:type="dxa"/>
              <w:bottom w:w="15" w:type="dxa"/>
              <w:right w:w="58"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EGPS_DC</w:t>
            </w:r>
          </w:p>
        </w:tc>
      </w:tr>
    </w:tbl>
    <w:p w:rsidR="005B2A17" w:rsidRPr="005B2A17" w:rsidRDefault="005B2A17" w:rsidP="005B2A17">
      <w:pPr>
        <w:jc w:val="both"/>
        <w:rPr>
          <w:rFonts w:ascii="Verdana" w:hAnsi="Verdana"/>
          <w:sz w:val="20"/>
        </w:rPr>
      </w:pPr>
      <w:r w:rsidRPr="005B2A17">
        <w:rPr>
          <w:rFonts w:ascii="Verdana" w:hAnsi="Verdana"/>
          <w:sz w:val="20"/>
        </w:rPr>
        <w:t>          Ver ejemplo de Etiqueta Electrónica con el sistema eléctrico de ERCOT en el Anexo 3.</w:t>
      </w:r>
    </w:p>
    <w:p w:rsidR="005B2A17" w:rsidRPr="005B2A17" w:rsidRDefault="005B2A17" w:rsidP="005B2A17">
      <w:pPr>
        <w:jc w:val="both"/>
        <w:rPr>
          <w:rFonts w:ascii="Verdana" w:hAnsi="Verdana"/>
          <w:sz w:val="20"/>
        </w:rPr>
      </w:pPr>
      <w:r w:rsidRPr="005B2A17">
        <w:rPr>
          <w:rFonts w:ascii="Verdana" w:hAnsi="Verdana"/>
          <w:b/>
          <w:bCs/>
          <w:sz w:val="20"/>
        </w:rPr>
        <w:t>7.4</w:t>
      </w:r>
      <w:r w:rsidRPr="005B2A17">
        <w:rPr>
          <w:rFonts w:ascii="Verdana" w:hAnsi="Verdana"/>
          <w:sz w:val="20"/>
        </w:rPr>
        <w:t>      </w:t>
      </w:r>
      <w:r w:rsidRPr="005B2A17">
        <w:rPr>
          <w:rFonts w:ascii="Verdana" w:hAnsi="Verdana"/>
          <w:b/>
          <w:bCs/>
          <w:sz w:val="20"/>
        </w:rPr>
        <w:t>Etiquetas Electrónicas con el sistema eléctrico de WECC</w:t>
      </w:r>
    </w:p>
    <w:p w:rsidR="005B2A17" w:rsidRPr="005B2A17" w:rsidRDefault="005B2A17" w:rsidP="005B2A17">
      <w:pPr>
        <w:jc w:val="both"/>
        <w:rPr>
          <w:rFonts w:ascii="Verdana" w:hAnsi="Verdana"/>
          <w:sz w:val="20"/>
        </w:rPr>
      </w:pPr>
      <w:r w:rsidRPr="005B2A17">
        <w:rPr>
          <w:rFonts w:ascii="Verdana" w:hAnsi="Verdana"/>
          <w:b/>
          <w:bCs/>
          <w:sz w:val="20"/>
        </w:rPr>
        <w:t>7.4.1</w:t>
      </w:r>
      <w:r w:rsidRPr="005B2A17">
        <w:rPr>
          <w:rFonts w:ascii="Verdana" w:hAnsi="Verdana"/>
          <w:sz w:val="20"/>
        </w:rPr>
        <w:t>   En la elaboración de las Etiquetas Electrónicas de las transacciones de importación y exportación con el sistema eléctrico de WECC se requiere registrar a las siguientes entidades:</w:t>
      </w:r>
    </w:p>
    <w:p w:rsidR="005B2A17" w:rsidRPr="005B2A17" w:rsidRDefault="005B2A17" w:rsidP="005B2A17">
      <w:pPr>
        <w:jc w:val="both"/>
        <w:rPr>
          <w:rFonts w:ascii="Verdana" w:hAnsi="Verdana"/>
          <w:sz w:val="20"/>
        </w:rPr>
      </w:pPr>
      <w:r w:rsidRPr="005B2A17">
        <w:rPr>
          <w:rFonts w:ascii="Verdana" w:hAnsi="Verdana"/>
          <w:sz w:val="20"/>
        </w:rPr>
        <w:t>(a)  Entidades de compra venta involucradas en la transacción, denominadas en EUA como </w:t>
      </w:r>
      <w:proofErr w:type="spellStart"/>
      <w:r w:rsidRPr="005B2A17">
        <w:rPr>
          <w:rFonts w:ascii="Verdana" w:hAnsi="Verdana"/>
          <w:sz w:val="20"/>
        </w:rPr>
        <w:t>Purchase-Selling</w:t>
      </w:r>
      <w:proofErr w:type="spellEnd"/>
      <w:r w:rsidRPr="005B2A17">
        <w:rPr>
          <w:rFonts w:ascii="Verdana" w:hAnsi="Verdana"/>
          <w:sz w:val="20"/>
        </w:rPr>
        <w:t xml:space="preserve"> </w:t>
      </w:r>
      <w:proofErr w:type="spellStart"/>
      <w:r w:rsidRPr="005B2A17">
        <w:rPr>
          <w:rFonts w:ascii="Verdana" w:hAnsi="Verdana"/>
          <w:sz w:val="20"/>
        </w:rPr>
        <w:t>Entity</w:t>
      </w:r>
      <w:proofErr w:type="spellEnd"/>
      <w:r w:rsidRPr="005B2A17">
        <w:rPr>
          <w:rFonts w:ascii="Verdana" w:hAnsi="Verdana"/>
          <w:sz w:val="20"/>
        </w:rPr>
        <w:t xml:space="preserve"> (PSE).</w:t>
      </w:r>
    </w:p>
    <w:p w:rsidR="005B2A17" w:rsidRPr="005B2A17" w:rsidRDefault="005B2A17" w:rsidP="005B2A17">
      <w:pPr>
        <w:jc w:val="both"/>
        <w:rPr>
          <w:rFonts w:ascii="Verdana" w:hAnsi="Verdana"/>
          <w:sz w:val="20"/>
        </w:rPr>
      </w:pPr>
      <w:r w:rsidRPr="005B2A17">
        <w:rPr>
          <w:rFonts w:ascii="Verdana" w:hAnsi="Verdana"/>
          <w:sz w:val="20"/>
        </w:rPr>
        <w:t xml:space="preserve">(b)  Entidades responsables de balance involucradas en la transacción, denominadas en EUA como </w:t>
      </w:r>
      <w:proofErr w:type="spellStart"/>
      <w:r w:rsidRPr="005B2A17">
        <w:rPr>
          <w:rFonts w:ascii="Verdana" w:hAnsi="Verdana"/>
          <w:sz w:val="20"/>
        </w:rPr>
        <w:t>Balancing</w:t>
      </w:r>
      <w:proofErr w:type="spellEnd"/>
      <w:r w:rsidRPr="005B2A17">
        <w:rPr>
          <w:rFonts w:ascii="Verdana" w:hAnsi="Verdana"/>
          <w:sz w:val="20"/>
        </w:rPr>
        <w:t xml:space="preserve"> </w:t>
      </w:r>
      <w:proofErr w:type="spellStart"/>
      <w:r w:rsidRPr="005B2A17">
        <w:rPr>
          <w:rFonts w:ascii="Verdana" w:hAnsi="Verdana"/>
          <w:sz w:val="20"/>
        </w:rPr>
        <w:t>Authority</w:t>
      </w:r>
      <w:proofErr w:type="spellEnd"/>
      <w:r w:rsidRPr="005B2A17">
        <w:rPr>
          <w:rFonts w:ascii="Verdana" w:hAnsi="Verdana"/>
          <w:sz w:val="20"/>
        </w:rPr>
        <w:t xml:space="preserve"> (BA).</w:t>
      </w:r>
    </w:p>
    <w:p w:rsidR="005B2A17" w:rsidRPr="005B2A17" w:rsidRDefault="005B2A17" w:rsidP="005B2A17">
      <w:pPr>
        <w:jc w:val="both"/>
        <w:rPr>
          <w:rFonts w:ascii="Verdana" w:hAnsi="Verdana"/>
          <w:sz w:val="20"/>
        </w:rPr>
      </w:pPr>
      <w:r w:rsidRPr="005B2A17">
        <w:rPr>
          <w:rFonts w:ascii="Verdana" w:hAnsi="Verdana"/>
          <w:sz w:val="20"/>
        </w:rPr>
        <w:t xml:space="preserve">(c)  Entidades responsables de operar el servicio de transmisión, denominadas en EUA como Transmisión </w:t>
      </w:r>
      <w:proofErr w:type="spellStart"/>
      <w:r w:rsidRPr="005B2A17">
        <w:rPr>
          <w:rFonts w:ascii="Verdana" w:hAnsi="Verdana"/>
          <w:sz w:val="20"/>
        </w:rPr>
        <w:t>Provider</w:t>
      </w:r>
      <w:proofErr w:type="spellEnd"/>
      <w:r w:rsidRPr="005B2A17">
        <w:rPr>
          <w:rFonts w:ascii="Verdana" w:hAnsi="Verdana"/>
          <w:sz w:val="20"/>
        </w:rPr>
        <w:t xml:space="preserve"> (TP).</w:t>
      </w:r>
    </w:p>
    <w:p w:rsidR="005B2A17" w:rsidRPr="005B2A17" w:rsidRDefault="005B2A17" w:rsidP="005B2A17">
      <w:pPr>
        <w:jc w:val="both"/>
        <w:rPr>
          <w:rFonts w:ascii="Verdana" w:hAnsi="Verdana"/>
          <w:sz w:val="20"/>
        </w:rPr>
      </w:pPr>
      <w:r w:rsidRPr="005B2A17">
        <w:rPr>
          <w:rFonts w:ascii="Verdana" w:hAnsi="Verdana"/>
          <w:b/>
          <w:bCs/>
          <w:sz w:val="20"/>
        </w:rPr>
        <w:t>7.4.2</w:t>
      </w:r>
      <w:r w:rsidRPr="005B2A17">
        <w:rPr>
          <w:rFonts w:ascii="Verdana" w:hAnsi="Verdana"/>
          <w:sz w:val="20"/>
        </w:rPr>
        <w:t xml:space="preserve">  El CENACE es la entidad en México que realizará la función de Balance </w:t>
      </w:r>
      <w:proofErr w:type="spellStart"/>
      <w:r w:rsidRPr="005B2A17">
        <w:rPr>
          <w:rFonts w:ascii="Verdana" w:hAnsi="Verdana"/>
          <w:sz w:val="20"/>
        </w:rPr>
        <w:t>Authority</w:t>
      </w:r>
      <w:proofErr w:type="spellEnd"/>
      <w:r w:rsidRPr="005B2A17">
        <w:rPr>
          <w:rFonts w:ascii="Verdana" w:hAnsi="Verdana"/>
          <w:sz w:val="20"/>
        </w:rPr>
        <w:t xml:space="preserve"> (BA) y </w:t>
      </w:r>
      <w:proofErr w:type="spellStart"/>
      <w:r w:rsidRPr="005B2A17">
        <w:rPr>
          <w:rFonts w:ascii="Verdana" w:hAnsi="Verdana"/>
          <w:sz w:val="20"/>
        </w:rPr>
        <w:t>Transmission</w:t>
      </w:r>
      <w:proofErr w:type="spellEnd"/>
      <w:r w:rsidRPr="005B2A17">
        <w:rPr>
          <w:rFonts w:ascii="Verdana" w:hAnsi="Verdana"/>
          <w:sz w:val="20"/>
        </w:rPr>
        <w:t xml:space="preserve"> </w:t>
      </w:r>
      <w:proofErr w:type="spellStart"/>
      <w:r w:rsidRPr="005B2A17">
        <w:rPr>
          <w:rFonts w:ascii="Verdana" w:hAnsi="Verdana"/>
          <w:sz w:val="20"/>
        </w:rPr>
        <w:t>Provider</w:t>
      </w:r>
      <w:proofErr w:type="spellEnd"/>
      <w:r w:rsidRPr="005B2A17">
        <w:rPr>
          <w:rFonts w:ascii="Verdana" w:hAnsi="Verdana"/>
          <w:sz w:val="20"/>
        </w:rPr>
        <w:t xml:space="preserve"> (TP) para las interconexiones con los Sistemas Eléctricos Vecinos, además el CENACE podrá obtener la figura de </w:t>
      </w:r>
      <w:proofErr w:type="spellStart"/>
      <w:r w:rsidRPr="005B2A17">
        <w:rPr>
          <w:rFonts w:ascii="Verdana" w:hAnsi="Verdana"/>
          <w:sz w:val="20"/>
        </w:rPr>
        <w:t>Purchasing-Selling</w:t>
      </w:r>
      <w:proofErr w:type="spellEnd"/>
      <w:r w:rsidRPr="005B2A17">
        <w:rPr>
          <w:rFonts w:ascii="Verdana" w:hAnsi="Verdana"/>
          <w:sz w:val="20"/>
        </w:rPr>
        <w:t xml:space="preserve"> </w:t>
      </w:r>
      <w:proofErr w:type="spellStart"/>
      <w:r w:rsidRPr="005B2A17">
        <w:rPr>
          <w:rFonts w:ascii="Verdana" w:hAnsi="Verdana"/>
          <w:sz w:val="20"/>
        </w:rPr>
        <w:t>Entity</w:t>
      </w:r>
      <w:proofErr w:type="spellEnd"/>
      <w:r w:rsidRPr="005B2A17">
        <w:rPr>
          <w:rFonts w:ascii="Verdana" w:hAnsi="Verdana"/>
          <w:sz w:val="20"/>
        </w:rPr>
        <w:t xml:space="preserve"> (PSE) para intercambiar energía con los Sistemas Eléctricos Vecinos cuando se requiera por Confiabilidad y/o Emergencia en cualquier Sistema Eléctrico o en su defecto en apego a convenios que permitan hacer eficiente el Mercado de Energía y la Operación del Sistema.</w:t>
      </w:r>
    </w:p>
    <w:p w:rsidR="005B2A17" w:rsidRPr="005B2A17" w:rsidRDefault="005B2A17" w:rsidP="005B2A17">
      <w:pPr>
        <w:jc w:val="both"/>
        <w:rPr>
          <w:rFonts w:ascii="Verdana" w:hAnsi="Verdana"/>
          <w:sz w:val="20"/>
        </w:rPr>
      </w:pPr>
      <w:r w:rsidRPr="005B2A17">
        <w:rPr>
          <w:rFonts w:ascii="Verdana" w:hAnsi="Verdana"/>
          <w:b/>
          <w:bCs/>
          <w:sz w:val="20"/>
        </w:rPr>
        <w:t>7.4.3</w:t>
      </w:r>
      <w:r w:rsidRPr="005B2A17">
        <w:rPr>
          <w:rFonts w:ascii="Verdana" w:hAnsi="Verdana"/>
          <w:sz w:val="20"/>
        </w:rPr>
        <w:t xml:space="preserve">  Para poder implementar Etiquetas Electrónicas de compra o venta de energía con el Sistema Eléctrico de WECC, los Participantes del Mercado o las entidades que </w:t>
      </w:r>
      <w:r w:rsidRPr="005B2A17">
        <w:rPr>
          <w:rFonts w:ascii="Verdana" w:hAnsi="Verdana"/>
          <w:sz w:val="20"/>
        </w:rPr>
        <w:lastRenderedPageBreak/>
        <w:t>realicen la creación de etiquetas para ellos deberán cumplir los requisitos impuestos por las autoridades de EEUU para:</w:t>
      </w:r>
    </w:p>
    <w:p w:rsidR="005B2A17" w:rsidRPr="005B2A17" w:rsidRDefault="005B2A17" w:rsidP="005B2A17">
      <w:pPr>
        <w:jc w:val="both"/>
        <w:rPr>
          <w:rFonts w:ascii="Verdana" w:hAnsi="Verdana"/>
          <w:sz w:val="20"/>
        </w:rPr>
      </w:pPr>
      <w:r w:rsidRPr="005B2A17">
        <w:rPr>
          <w:rFonts w:ascii="Verdana" w:hAnsi="Verdana"/>
          <w:sz w:val="20"/>
        </w:rPr>
        <w:t>(a)  tener la figura de PSE;</w:t>
      </w:r>
    </w:p>
    <w:p w:rsidR="005B2A17" w:rsidRPr="005B2A17" w:rsidRDefault="005B2A17" w:rsidP="005B2A17">
      <w:pPr>
        <w:jc w:val="both"/>
        <w:rPr>
          <w:rFonts w:ascii="Verdana" w:hAnsi="Verdana"/>
          <w:sz w:val="20"/>
        </w:rPr>
      </w:pPr>
      <w:r w:rsidRPr="005B2A17">
        <w:rPr>
          <w:rFonts w:ascii="Verdana" w:hAnsi="Verdana"/>
          <w:sz w:val="20"/>
        </w:rPr>
        <w:t>(b)  estar registrados en el Registro de la Industria Eléctrica de EUA (EIR por sus siglas en inglés), y</w:t>
      </w:r>
    </w:p>
    <w:p w:rsidR="005B2A17" w:rsidRPr="005B2A17" w:rsidRDefault="005B2A17" w:rsidP="005B2A17">
      <w:pPr>
        <w:jc w:val="both"/>
        <w:rPr>
          <w:rFonts w:ascii="Verdana" w:hAnsi="Verdana"/>
          <w:sz w:val="20"/>
        </w:rPr>
      </w:pPr>
      <w:r w:rsidRPr="005B2A17">
        <w:rPr>
          <w:rFonts w:ascii="Verdana" w:hAnsi="Verdana"/>
          <w:sz w:val="20"/>
        </w:rPr>
        <w:t>(c)  cumplir con todos los requisitos establecidos por las entidades que regulan las transacciones de energía en EUA.</w:t>
      </w:r>
    </w:p>
    <w:p w:rsidR="005B2A17" w:rsidRPr="005B2A17" w:rsidRDefault="005B2A17" w:rsidP="005B2A17">
      <w:pPr>
        <w:jc w:val="both"/>
        <w:rPr>
          <w:rFonts w:ascii="Verdana" w:hAnsi="Verdana"/>
          <w:sz w:val="20"/>
        </w:rPr>
      </w:pPr>
      <w:r w:rsidRPr="005B2A17">
        <w:rPr>
          <w:rFonts w:ascii="Verdana" w:hAnsi="Verdana"/>
          <w:sz w:val="20"/>
        </w:rPr>
        <w:t> </w:t>
      </w:r>
    </w:p>
    <w:p w:rsidR="005B2A17" w:rsidRPr="005B2A17" w:rsidRDefault="005B2A17" w:rsidP="005B2A17">
      <w:pPr>
        <w:jc w:val="both"/>
        <w:rPr>
          <w:rFonts w:ascii="Verdana" w:hAnsi="Verdana"/>
          <w:sz w:val="20"/>
        </w:rPr>
      </w:pPr>
      <w:r w:rsidRPr="005B2A17">
        <w:rPr>
          <w:rFonts w:ascii="Verdana" w:hAnsi="Verdana"/>
          <w:b/>
          <w:bCs/>
          <w:sz w:val="20"/>
        </w:rPr>
        <w:t>7.4.4</w:t>
      </w:r>
      <w:r w:rsidRPr="005B2A17">
        <w:rPr>
          <w:rFonts w:ascii="Verdana" w:hAnsi="Verdana"/>
          <w:sz w:val="20"/>
        </w:rPr>
        <w:t>  Los Participantes del Mercado o las entidades que realicen la creación de etiquetas para ellos que requieran realizar transacciones de importación y exportación con el sistema eléctrico de WECC deberán elaborar las Etiquetas Electrónicas en la aplicación utilizada por el CENACE para tal fin.</w:t>
      </w:r>
    </w:p>
    <w:p w:rsidR="005B2A17" w:rsidRPr="005B2A17" w:rsidRDefault="005B2A17" w:rsidP="005B2A17">
      <w:pPr>
        <w:jc w:val="both"/>
        <w:rPr>
          <w:rFonts w:ascii="Verdana" w:hAnsi="Verdana"/>
          <w:sz w:val="20"/>
        </w:rPr>
      </w:pPr>
      <w:r w:rsidRPr="005B2A17">
        <w:rPr>
          <w:rFonts w:ascii="Verdana" w:hAnsi="Verdana"/>
          <w:b/>
          <w:bCs/>
          <w:sz w:val="20"/>
        </w:rPr>
        <w:t>7.4.5</w:t>
      </w:r>
      <w:r w:rsidRPr="005B2A17">
        <w:rPr>
          <w:rFonts w:ascii="Verdana" w:hAnsi="Verdana"/>
          <w:sz w:val="20"/>
        </w:rPr>
        <w:t>  Las rampas utilizadas en los Enlaces de Interconexión con WECC son las siguientes:</w:t>
      </w:r>
    </w:p>
    <w:tbl>
      <w:tblPr>
        <w:tblW w:w="0" w:type="auto"/>
        <w:tblInd w:w="1260" w:type="dxa"/>
        <w:shd w:val="clear" w:color="auto" w:fill="FFFFFF"/>
        <w:tblCellMar>
          <w:top w:w="15" w:type="dxa"/>
          <w:left w:w="15" w:type="dxa"/>
          <w:bottom w:w="15" w:type="dxa"/>
          <w:right w:w="15" w:type="dxa"/>
        </w:tblCellMar>
        <w:tblLook w:val="04A0" w:firstRow="1" w:lastRow="0" w:firstColumn="1" w:lastColumn="0" w:noHBand="0" w:noVBand="1"/>
      </w:tblPr>
      <w:tblGrid>
        <w:gridCol w:w="3330"/>
        <w:gridCol w:w="3330"/>
      </w:tblGrid>
      <w:tr w:rsidR="005B2A17" w:rsidRPr="005B2A17" w:rsidTr="005B2A17">
        <w:trPr>
          <w:trHeight w:val="409"/>
        </w:trPr>
        <w:tc>
          <w:tcPr>
            <w:tcW w:w="3330"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5B2A17" w:rsidRPr="005B2A17" w:rsidRDefault="005B2A17" w:rsidP="005B2A17">
            <w:pPr>
              <w:jc w:val="both"/>
              <w:rPr>
                <w:rFonts w:ascii="Verdana" w:hAnsi="Verdana"/>
                <w:sz w:val="20"/>
              </w:rPr>
            </w:pPr>
            <w:r w:rsidRPr="005B2A17">
              <w:rPr>
                <w:rFonts w:ascii="Verdana" w:hAnsi="Verdana"/>
                <w:b/>
                <w:bCs/>
                <w:sz w:val="20"/>
              </w:rPr>
              <w:t>Enlace de Interconexión</w:t>
            </w:r>
          </w:p>
        </w:tc>
        <w:tc>
          <w:tcPr>
            <w:tcW w:w="3330"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5B2A17" w:rsidRPr="005B2A17" w:rsidRDefault="005B2A17" w:rsidP="005B2A17">
            <w:pPr>
              <w:jc w:val="both"/>
              <w:rPr>
                <w:rFonts w:ascii="Verdana" w:hAnsi="Verdana"/>
                <w:sz w:val="20"/>
              </w:rPr>
            </w:pPr>
            <w:r w:rsidRPr="005B2A17">
              <w:rPr>
                <w:rFonts w:ascii="Verdana" w:hAnsi="Verdana"/>
                <w:b/>
                <w:bCs/>
                <w:sz w:val="20"/>
              </w:rPr>
              <w:t>Rampa</w:t>
            </w:r>
          </w:p>
        </w:tc>
      </w:tr>
      <w:tr w:rsidR="005B2A17" w:rsidRPr="005B2A17" w:rsidTr="005B2A17">
        <w:trPr>
          <w:trHeight w:val="394"/>
        </w:trPr>
        <w:tc>
          <w:tcPr>
            <w:tcW w:w="33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B2A17" w:rsidRPr="005B2A17" w:rsidRDefault="005B2A17" w:rsidP="005B2A17">
            <w:pPr>
              <w:jc w:val="both"/>
              <w:rPr>
                <w:rFonts w:ascii="Verdana" w:hAnsi="Verdana"/>
                <w:sz w:val="20"/>
              </w:rPr>
            </w:pPr>
            <w:r w:rsidRPr="005B2A17">
              <w:rPr>
                <w:rFonts w:ascii="Verdana" w:hAnsi="Verdana"/>
                <w:sz w:val="20"/>
              </w:rPr>
              <w:t xml:space="preserve">La </w:t>
            </w:r>
            <w:proofErr w:type="spellStart"/>
            <w:r w:rsidRPr="005B2A17">
              <w:rPr>
                <w:rFonts w:ascii="Verdana" w:hAnsi="Verdana"/>
                <w:sz w:val="20"/>
              </w:rPr>
              <w:t>RositaImperial</w:t>
            </w:r>
            <w:proofErr w:type="spellEnd"/>
            <w:r w:rsidRPr="005B2A17">
              <w:rPr>
                <w:rFonts w:ascii="Verdana" w:hAnsi="Verdana"/>
                <w:sz w:val="20"/>
              </w:rPr>
              <w:t xml:space="preserve"> Valley</w:t>
            </w:r>
          </w:p>
        </w:tc>
        <w:tc>
          <w:tcPr>
            <w:tcW w:w="33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B2A17" w:rsidRPr="005B2A17" w:rsidRDefault="005B2A17" w:rsidP="005B2A17">
            <w:pPr>
              <w:jc w:val="both"/>
              <w:rPr>
                <w:rFonts w:ascii="Verdana" w:hAnsi="Verdana"/>
                <w:sz w:val="20"/>
              </w:rPr>
            </w:pPr>
            <w:r w:rsidRPr="005B2A17">
              <w:rPr>
                <w:rFonts w:ascii="Verdana" w:hAnsi="Verdana"/>
                <w:sz w:val="20"/>
              </w:rPr>
              <w:t>20 min</w:t>
            </w:r>
          </w:p>
        </w:tc>
      </w:tr>
      <w:tr w:rsidR="005B2A17" w:rsidRPr="005B2A17" w:rsidTr="005B2A17">
        <w:trPr>
          <w:trHeight w:val="409"/>
        </w:trPr>
        <w:tc>
          <w:tcPr>
            <w:tcW w:w="33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B2A17" w:rsidRPr="005B2A17" w:rsidRDefault="005B2A17" w:rsidP="005B2A17">
            <w:pPr>
              <w:jc w:val="both"/>
              <w:rPr>
                <w:rFonts w:ascii="Verdana" w:hAnsi="Verdana"/>
                <w:sz w:val="20"/>
              </w:rPr>
            </w:pPr>
            <w:proofErr w:type="spellStart"/>
            <w:r w:rsidRPr="005B2A17">
              <w:rPr>
                <w:rFonts w:ascii="Verdana" w:hAnsi="Verdana"/>
                <w:sz w:val="20"/>
              </w:rPr>
              <w:t>TijuanaOtay</w:t>
            </w:r>
            <w:proofErr w:type="spellEnd"/>
            <w:r w:rsidRPr="005B2A17">
              <w:rPr>
                <w:rFonts w:ascii="Verdana" w:hAnsi="Verdana"/>
                <w:sz w:val="20"/>
              </w:rPr>
              <w:t xml:space="preserve"> Mesa</w:t>
            </w:r>
          </w:p>
        </w:tc>
        <w:tc>
          <w:tcPr>
            <w:tcW w:w="33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5B2A17" w:rsidRPr="005B2A17" w:rsidRDefault="005B2A17" w:rsidP="005B2A17">
            <w:pPr>
              <w:jc w:val="both"/>
              <w:rPr>
                <w:rFonts w:ascii="Verdana" w:hAnsi="Verdana"/>
                <w:sz w:val="20"/>
              </w:rPr>
            </w:pPr>
            <w:r w:rsidRPr="005B2A17">
              <w:rPr>
                <w:rFonts w:ascii="Verdana" w:hAnsi="Verdana"/>
                <w:sz w:val="20"/>
              </w:rPr>
              <w:t>20 min</w:t>
            </w:r>
          </w:p>
        </w:tc>
      </w:tr>
    </w:tbl>
    <w:p w:rsidR="005B2A17" w:rsidRPr="005B2A17" w:rsidRDefault="005B2A17" w:rsidP="005B2A17">
      <w:pPr>
        <w:jc w:val="both"/>
        <w:rPr>
          <w:rFonts w:ascii="Verdana" w:hAnsi="Verdana"/>
          <w:sz w:val="20"/>
        </w:rPr>
      </w:pPr>
      <w:r w:rsidRPr="005B2A17">
        <w:rPr>
          <w:rFonts w:ascii="Verdana" w:hAnsi="Verdana"/>
          <w:sz w:val="20"/>
        </w:rPr>
        <w:t> </w:t>
      </w:r>
    </w:p>
    <w:p w:rsidR="005B2A17" w:rsidRPr="005B2A17" w:rsidRDefault="005B2A17" w:rsidP="005B2A17">
      <w:pPr>
        <w:jc w:val="both"/>
        <w:rPr>
          <w:rFonts w:ascii="Verdana" w:hAnsi="Verdana"/>
          <w:sz w:val="20"/>
        </w:rPr>
      </w:pPr>
      <w:r w:rsidRPr="005B2A17">
        <w:rPr>
          <w:rFonts w:ascii="Verdana" w:hAnsi="Verdana"/>
          <w:b/>
          <w:bCs/>
          <w:sz w:val="20"/>
        </w:rPr>
        <w:t>7.4.6</w:t>
      </w:r>
      <w:r w:rsidRPr="005B2A17">
        <w:rPr>
          <w:rFonts w:ascii="Verdana" w:hAnsi="Verdana"/>
          <w:sz w:val="20"/>
        </w:rPr>
        <w:t>  Los Puntos de Entrega/Recepción acordados y que se deben registrar en las Etiquetas Electrónicas de las importaciones y exportaciones con el sistema eléctrico de WECC se describen en la siguiente tabla:</w:t>
      </w:r>
    </w:p>
    <w:tbl>
      <w:tblPr>
        <w:tblW w:w="0" w:type="auto"/>
        <w:tblInd w:w="450" w:type="dxa"/>
        <w:shd w:val="clear" w:color="auto" w:fill="FFFFFF"/>
        <w:tblCellMar>
          <w:top w:w="15" w:type="dxa"/>
          <w:left w:w="15" w:type="dxa"/>
          <w:bottom w:w="15" w:type="dxa"/>
          <w:right w:w="15" w:type="dxa"/>
        </w:tblCellMar>
        <w:tblLook w:val="04A0" w:firstRow="1" w:lastRow="0" w:firstColumn="1" w:lastColumn="0" w:noHBand="0" w:noVBand="1"/>
      </w:tblPr>
      <w:tblGrid>
        <w:gridCol w:w="1033"/>
        <w:gridCol w:w="1671"/>
        <w:gridCol w:w="1055"/>
        <w:gridCol w:w="1721"/>
        <w:gridCol w:w="1664"/>
        <w:gridCol w:w="1330"/>
      </w:tblGrid>
      <w:tr w:rsidR="005B2A17" w:rsidRPr="005B2A17" w:rsidTr="005B2A17">
        <w:trPr>
          <w:trHeight w:val="1168"/>
        </w:trPr>
        <w:tc>
          <w:tcPr>
            <w:tcW w:w="999" w:type="dxa"/>
            <w:tcBorders>
              <w:top w:val="single" w:sz="6" w:space="0" w:color="000000"/>
              <w:left w:val="single" w:sz="6" w:space="0" w:color="000000"/>
              <w:bottom w:val="single" w:sz="6" w:space="0" w:color="000000"/>
              <w:right w:val="single" w:sz="6" w:space="0" w:color="000000"/>
            </w:tcBorders>
            <w:shd w:val="clear" w:color="auto" w:fill="E0E0E0"/>
            <w:tcMar>
              <w:top w:w="15" w:type="dxa"/>
              <w:left w:w="43" w:type="dxa"/>
              <w:bottom w:w="15" w:type="dxa"/>
              <w:right w:w="43" w:type="dxa"/>
            </w:tcMar>
            <w:vAlign w:val="center"/>
            <w:hideMark/>
          </w:tcPr>
          <w:p w:rsidR="005B2A17" w:rsidRPr="005B2A17" w:rsidRDefault="005B2A17" w:rsidP="005B2A17">
            <w:pPr>
              <w:jc w:val="both"/>
              <w:rPr>
                <w:rFonts w:ascii="Verdana" w:hAnsi="Verdana"/>
                <w:sz w:val="20"/>
              </w:rPr>
            </w:pPr>
            <w:r w:rsidRPr="005B2A17">
              <w:rPr>
                <w:rFonts w:ascii="Verdana" w:hAnsi="Verdana"/>
                <w:b/>
                <w:bCs/>
                <w:sz w:val="20"/>
              </w:rPr>
              <w:t>Región</w:t>
            </w:r>
          </w:p>
        </w:tc>
        <w:tc>
          <w:tcPr>
            <w:tcW w:w="1611" w:type="dxa"/>
            <w:tcBorders>
              <w:top w:val="single" w:sz="6" w:space="0" w:color="000000"/>
              <w:left w:val="single" w:sz="6" w:space="0" w:color="000000"/>
              <w:bottom w:val="single" w:sz="6" w:space="0" w:color="000000"/>
              <w:right w:val="single" w:sz="6" w:space="0" w:color="000000"/>
            </w:tcBorders>
            <w:shd w:val="clear" w:color="auto" w:fill="E0E0E0"/>
            <w:tcMar>
              <w:top w:w="15" w:type="dxa"/>
              <w:left w:w="43" w:type="dxa"/>
              <w:bottom w:w="15" w:type="dxa"/>
              <w:right w:w="43" w:type="dxa"/>
            </w:tcMar>
            <w:vAlign w:val="center"/>
            <w:hideMark/>
          </w:tcPr>
          <w:p w:rsidR="005B2A17" w:rsidRPr="005B2A17" w:rsidRDefault="005B2A17" w:rsidP="005B2A17">
            <w:pPr>
              <w:jc w:val="both"/>
              <w:rPr>
                <w:rFonts w:ascii="Verdana" w:hAnsi="Verdana"/>
                <w:sz w:val="20"/>
              </w:rPr>
            </w:pPr>
            <w:r w:rsidRPr="005B2A17">
              <w:rPr>
                <w:rFonts w:ascii="Verdana" w:hAnsi="Verdana"/>
                <w:b/>
                <w:bCs/>
                <w:sz w:val="20"/>
              </w:rPr>
              <w:t>Enlace de</w:t>
            </w:r>
            <w:r w:rsidRPr="005B2A17">
              <w:rPr>
                <w:rFonts w:ascii="Verdana" w:hAnsi="Verdana"/>
                <w:sz w:val="20"/>
              </w:rPr>
              <w:br/>
            </w:r>
            <w:r w:rsidRPr="005B2A17">
              <w:rPr>
                <w:rFonts w:ascii="Verdana" w:hAnsi="Verdana"/>
                <w:b/>
                <w:bCs/>
                <w:sz w:val="20"/>
              </w:rPr>
              <w:t>Interconexión</w:t>
            </w:r>
          </w:p>
        </w:tc>
        <w:tc>
          <w:tcPr>
            <w:tcW w:w="1260" w:type="dxa"/>
            <w:tcBorders>
              <w:top w:val="single" w:sz="6" w:space="0" w:color="000000"/>
              <w:left w:val="single" w:sz="6" w:space="0" w:color="000000"/>
              <w:bottom w:val="single" w:sz="6" w:space="0" w:color="000000"/>
              <w:right w:val="single" w:sz="6" w:space="0" w:color="000000"/>
            </w:tcBorders>
            <w:shd w:val="clear" w:color="auto" w:fill="E0E0E0"/>
            <w:tcMar>
              <w:top w:w="15" w:type="dxa"/>
              <w:left w:w="43" w:type="dxa"/>
              <w:bottom w:w="15" w:type="dxa"/>
              <w:right w:w="43" w:type="dxa"/>
            </w:tcMar>
            <w:vAlign w:val="center"/>
            <w:hideMark/>
          </w:tcPr>
          <w:p w:rsidR="005B2A17" w:rsidRPr="005B2A17" w:rsidRDefault="005B2A17" w:rsidP="005B2A17">
            <w:pPr>
              <w:jc w:val="both"/>
              <w:rPr>
                <w:rFonts w:ascii="Verdana" w:hAnsi="Verdana"/>
                <w:sz w:val="20"/>
              </w:rPr>
            </w:pPr>
            <w:r w:rsidRPr="005B2A17">
              <w:rPr>
                <w:rFonts w:ascii="Verdana" w:hAnsi="Verdana"/>
                <w:b/>
                <w:bCs/>
                <w:sz w:val="20"/>
              </w:rPr>
              <w:t>Sistema</w:t>
            </w:r>
            <w:r w:rsidRPr="005B2A17">
              <w:rPr>
                <w:rFonts w:ascii="Verdana" w:hAnsi="Verdana"/>
                <w:sz w:val="20"/>
              </w:rPr>
              <w:br/>
            </w:r>
            <w:r w:rsidRPr="005B2A17">
              <w:rPr>
                <w:rFonts w:ascii="Verdana" w:hAnsi="Verdana"/>
                <w:b/>
                <w:bCs/>
                <w:sz w:val="20"/>
              </w:rPr>
              <w:t>Eléctrico</w:t>
            </w:r>
            <w:r w:rsidRPr="005B2A17">
              <w:rPr>
                <w:rFonts w:ascii="Verdana" w:hAnsi="Verdana"/>
                <w:sz w:val="20"/>
              </w:rPr>
              <w:br/>
            </w:r>
            <w:r w:rsidRPr="005B2A17">
              <w:rPr>
                <w:rFonts w:ascii="Verdana" w:hAnsi="Verdana"/>
                <w:b/>
                <w:bCs/>
                <w:sz w:val="20"/>
              </w:rPr>
              <w:t>Vecino-País</w:t>
            </w:r>
          </w:p>
        </w:tc>
        <w:tc>
          <w:tcPr>
            <w:tcW w:w="1620" w:type="dxa"/>
            <w:tcBorders>
              <w:top w:val="single" w:sz="6" w:space="0" w:color="000000"/>
              <w:left w:val="single" w:sz="6" w:space="0" w:color="000000"/>
              <w:bottom w:val="single" w:sz="6" w:space="0" w:color="000000"/>
              <w:right w:val="single" w:sz="6" w:space="0" w:color="000000"/>
            </w:tcBorders>
            <w:shd w:val="clear" w:color="auto" w:fill="E0E0E0"/>
            <w:tcMar>
              <w:top w:w="15" w:type="dxa"/>
              <w:left w:w="43" w:type="dxa"/>
              <w:bottom w:w="15" w:type="dxa"/>
              <w:right w:w="43" w:type="dxa"/>
            </w:tcMar>
            <w:vAlign w:val="center"/>
            <w:hideMark/>
          </w:tcPr>
          <w:p w:rsidR="005B2A17" w:rsidRPr="005B2A17" w:rsidRDefault="005B2A17" w:rsidP="005B2A17">
            <w:pPr>
              <w:jc w:val="both"/>
              <w:rPr>
                <w:rFonts w:ascii="Verdana" w:hAnsi="Verdana"/>
                <w:sz w:val="20"/>
              </w:rPr>
            </w:pPr>
            <w:r w:rsidRPr="005B2A17">
              <w:rPr>
                <w:rFonts w:ascii="Verdana" w:hAnsi="Verdana"/>
                <w:b/>
                <w:bCs/>
                <w:sz w:val="20"/>
              </w:rPr>
              <w:t>Punto de Entrega/</w:t>
            </w:r>
            <w:r w:rsidRPr="005B2A17">
              <w:rPr>
                <w:rFonts w:ascii="Verdana" w:hAnsi="Verdana"/>
                <w:sz w:val="20"/>
              </w:rPr>
              <w:br/>
            </w:r>
            <w:r w:rsidRPr="005B2A17">
              <w:rPr>
                <w:rFonts w:ascii="Verdana" w:hAnsi="Verdana"/>
                <w:b/>
                <w:bCs/>
                <w:sz w:val="20"/>
              </w:rPr>
              <w:t>Recepción para</w:t>
            </w:r>
            <w:r w:rsidRPr="005B2A17">
              <w:rPr>
                <w:rFonts w:ascii="Verdana" w:hAnsi="Verdana"/>
                <w:sz w:val="20"/>
              </w:rPr>
              <w:br/>
            </w:r>
            <w:r w:rsidRPr="005B2A17">
              <w:rPr>
                <w:rFonts w:ascii="Verdana" w:hAnsi="Verdana"/>
                <w:b/>
                <w:bCs/>
                <w:sz w:val="20"/>
              </w:rPr>
              <w:t>liquidación del</w:t>
            </w:r>
            <w:r w:rsidRPr="005B2A17">
              <w:rPr>
                <w:rFonts w:ascii="Verdana" w:hAnsi="Verdana"/>
                <w:sz w:val="20"/>
              </w:rPr>
              <w:br/>
            </w:r>
            <w:r w:rsidRPr="005B2A17">
              <w:rPr>
                <w:rFonts w:ascii="Verdana" w:hAnsi="Verdana"/>
                <w:b/>
                <w:bCs/>
                <w:sz w:val="20"/>
              </w:rPr>
              <w:t>MEM</w:t>
            </w:r>
          </w:p>
        </w:tc>
        <w:tc>
          <w:tcPr>
            <w:tcW w:w="1260" w:type="dxa"/>
            <w:tcBorders>
              <w:top w:val="single" w:sz="6" w:space="0" w:color="000000"/>
              <w:left w:val="single" w:sz="6" w:space="0" w:color="000000"/>
              <w:bottom w:val="single" w:sz="6" w:space="0" w:color="000000"/>
              <w:right w:val="single" w:sz="6" w:space="0" w:color="000000"/>
            </w:tcBorders>
            <w:shd w:val="clear" w:color="auto" w:fill="E0E0E0"/>
            <w:tcMar>
              <w:top w:w="15" w:type="dxa"/>
              <w:left w:w="43" w:type="dxa"/>
              <w:bottom w:w="15" w:type="dxa"/>
              <w:right w:w="43" w:type="dxa"/>
            </w:tcMar>
            <w:vAlign w:val="center"/>
            <w:hideMark/>
          </w:tcPr>
          <w:p w:rsidR="005B2A17" w:rsidRPr="005B2A17" w:rsidRDefault="005B2A17" w:rsidP="005B2A17">
            <w:pPr>
              <w:jc w:val="both"/>
              <w:rPr>
                <w:rFonts w:ascii="Verdana" w:hAnsi="Verdana"/>
                <w:sz w:val="20"/>
              </w:rPr>
            </w:pPr>
            <w:r w:rsidRPr="005B2A17">
              <w:rPr>
                <w:rFonts w:ascii="Verdana" w:hAnsi="Verdana"/>
                <w:b/>
                <w:bCs/>
                <w:sz w:val="20"/>
              </w:rPr>
              <w:t>Nomenclatura</w:t>
            </w:r>
          </w:p>
        </w:tc>
        <w:tc>
          <w:tcPr>
            <w:tcW w:w="1620" w:type="dxa"/>
            <w:tcBorders>
              <w:top w:val="single" w:sz="6" w:space="0" w:color="000000"/>
              <w:left w:val="single" w:sz="6" w:space="0" w:color="000000"/>
              <w:bottom w:val="single" w:sz="6" w:space="0" w:color="000000"/>
              <w:right w:val="single" w:sz="6" w:space="0" w:color="000000"/>
            </w:tcBorders>
            <w:shd w:val="clear" w:color="auto" w:fill="E0E0E0"/>
            <w:tcMar>
              <w:top w:w="15" w:type="dxa"/>
              <w:left w:w="43" w:type="dxa"/>
              <w:bottom w:w="15" w:type="dxa"/>
              <w:right w:w="43" w:type="dxa"/>
            </w:tcMar>
            <w:vAlign w:val="center"/>
            <w:hideMark/>
          </w:tcPr>
          <w:p w:rsidR="005B2A17" w:rsidRPr="005B2A17" w:rsidRDefault="005B2A17" w:rsidP="005B2A17">
            <w:pPr>
              <w:jc w:val="both"/>
              <w:rPr>
                <w:rFonts w:ascii="Verdana" w:hAnsi="Verdana"/>
                <w:sz w:val="20"/>
              </w:rPr>
            </w:pPr>
            <w:r w:rsidRPr="005B2A17">
              <w:rPr>
                <w:rFonts w:ascii="Verdana" w:hAnsi="Verdana"/>
                <w:b/>
                <w:bCs/>
                <w:sz w:val="20"/>
              </w:rPr>
              <w:t>Punto de Entrega/</w:t>
            </w:r>
            <w:r w:rsidRPr="005B2A17">
              <w:rPr>
                <w:rFonts w:ascii="Verdana" w:hAnsi="Verdana"/>
                <w:sz w:val="20"/>
              </w:rPr>
              <w:br/>
            </w:r>
            <w:r w:rsidRPr="005B2A17">
              <w:rPr>
                <w:rFonts w:ascii="Verdana" w:hAnsi="Verdana"/>
                <w:b/>
                <w:bCs/>
                <w:sz w:val="20"/>
              </w:rPr>
              <w:t>Recepción para</w:t>
            </w:r>
            <w:r w:rsidRPr="005B2A17">
              <w:rPr>
                <w:rFonts w:ascii="Verdana" w:hAnsi="Verdana"/>
                <w:sz w:val="20"/>
              </w:rPr>
              <w:br/>
            </w:r>
            <w:r w:rsidRPr="005B2A17">
              <w:rPr>
                <w:rFonts w:ascii="Verdana" w:hAnsi="Verdana"/>
                <w:b/>
                <w:bCs/>
                <w:sz w:val="20"/>
              </w:rPr>
              <w:t>Etiqueta</w:t>
            </w:r>
            <w:r w:rsidRPr="005B2A17">
              <w:rPr>
                <w:rFonts w:ascii="Verdana" w:hAnsi="Verdana"/>
                <w:sz w:val="20"/>
              </w:rPr>
              <w:br/>
            </w:r>
            <w:r w:rsidRPr="005B2A17">
              <w:rPr>
                <w:rFonts w:ascii="Verdana" w:hAnsi="Verdana"/>
                <w:b/>
                <w:bCs/>
                <w:sz w:val="20"/>
              </w:rPr>
              <w:t>Electrónica</w:t>
            </w:r>
          </w:p>
        </w:tc>
      </w:tr>
      <w:tr w:rsidR="005B2A17" w:rsidRPr="005B2A17" w:rsidTr="005B2A17">
        <w:trPr>
          <w:trHeight w:val="647"/>
        </w:trPr>
        <w:tc>
          <w:tcPr>
            <w:tcW w:w="999" w:type="dxa"/>
            <w:vMerge w:val="restart"/>
            <w:tcBorders>
              <w:top w:val="single" w:sz="6" w:space="0" w:color="000000"/>
              <w:left w:val="single" w:sz="6" w:space="0" w:color="000000"/>
              <w:right w:val="single" w:sz="6" w:space="0" w:color="000000"/>
            </w:tcBorders>
            <w:shd w:val="clear" w:color="auto" w:fill="FFFFFF"/>
            <w:tcMar>
              <w:top w:w="15" w:type="dxa"/>
              <w:left w:w="43" w:type="dxa"/>
              <w:bottom w:w="15" w:type="dxa"/>
              <w:right w:w="43"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Baja</w:t>
            </w:r>
            <w:r w:rsidRPr="005B2A17">
              <w:rPr>
                <w:rFonts w:ascii="Verdana" w:hAnsi="Verdana"/>
                <w:sz w:val="20"/>
              </w:rPr>
              <w:br/>
              <w:t>California</w:t>
            </w:r>
          </w:p>
        </w:tc>
        <w:tc>
          <w:tcPr>
            <w:tcW w:w="16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 xml:space="preserve">La </w:t>
            </w:r>
            <w:proofErr w:type="spellStart"/>
            <w:r w:rsidRPr="005B2A17">
              <w:rPr>
                <w:rFonts w:ascii="Verdana" w:hAnsi="Verdana"/>
                <w:sz w:val="20"/>
              </w:rPr>
              <w:t>RositaImperial</w:t>
            </w:r>
            <w:proofErr w:type="spellEnd"/>
            <w:r w:rsidRPr="005B2A17">
              <w:rPr>
                <w:rFonts w:ascii="Verdana" w:hAnsi="Verdana"/>
                <w:sz w:val="20"/>
              </w:rPr>
              <w:br/>
              <w:t>Valley</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WECC-EUA</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Rosita</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ROA-230</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CFEROA</w:t>
            </w:r>
          </w:p>
        </w:tc>
      </w:tr>
      <w:tr w:rsidR="005B2A17" w:rsidRPr="005B2A17" w:rsidTr="005B2A17">
        <w:trPr>
          <w:trHeight w:val="409"/>
        </w:trPr>
        <w:tc>
          <w:tcPr>
            <w:tcW w:w="0" w:type="auto"/>
            <w:vMerge/>
            <w:tcBorders>
              <w:top w:val="single" w:sz="6" w:space="0" w:color="000000"/>
              <w:left w:val="single" w:sz="6" w:space="0" w:color="000000"/>
              <w:right w:val="single" w:sz="6" w:space="0" w:color="000000"/>
            </w:tcBorders>
            <w:shd w:val="clear" w:color="auto" w:fill="FFFFFF"/>
            <w:vAlign w:val="center"/>
            <w:hideMark/>
          </w:tcPr>
          <w:p w:rsidR="005B2A17" w:rsidRPr="005B2A17" w:rsidRDefault="005B2A17" w:rsidP="005B2A17">
            <w:pPr>
              <w:jc w:val="both"/>
              <w:rPr>
                <w:rFonts w:ascii="Verdana" w:hAnsi="Verdana"/>
                <w:sz w:val="20"/>
              </w:rPr>
            </w:pPr>
          </w:p>
        </w:tc>
        <w:tc>
          <w:tcPr>
            <w:tcW w:w="16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vAlign w:val="center"/>
            <w:hideMark/>
          </w:tcPr>
          <w:p w:rsidR="005B2A17" w:rsidRPr="005B2A17" w:rsidRDefault="005B2A17" w:rsidP="005B2A17">
            <w:pPr>
              <w:jc w:val="both"/>
              <w:rPr>
                <w:rFonts w:ascii="Verdana" w:hAnsi="Verdana"/>
                <w:sz w:val="20"/>
              </w:rPr>
            </w:pPr>
            <w:proofErr w:type="spellStart"/>
            <w:r w:rsidRPr="005B2A17">
              <w:rPr>
                <w:rFonts w:ascii="Verdana" w:hAnsi="Verdana"/>
                <w:sz w:val="20"/>
              </w:rPr>
              <w:t>TijuanaOtay</w:t>
            </w:r>
            <w:proofErr w:type="spellEnd"/>
            <w:r w:rsidRPr="005B2A17">
              <w:rPr>
                <w:rFonts w:ascii="Verdana" w:hAnsi="Verdana"/>
                <w:sz w:val="20"/>
              </w:rPr>
              <w:t xml:space="preserve"> Mesa</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WECC-EUA</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Tijuana</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TJI-230</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vAlign w:val="center"/>
            <w:hideMark/>
          </w:tcPr>
          <w:p w:rsidR="005B2A17" w:rsidRPr="005B2A17" w:rsidRDefault="005B2A17" w:rsidP="005B2A17">
            <w:pPr>
              <w:jc w:val="both"/>
              <w:rPr>
                <w:rFonts w:ascii="Verdana" w:hAnsi="Verdana"/>
                <w:sz w:val="20"/>
              </w:rPr>
            </w:pPr>
            <w:r w:rsidRPr="005B2A17">
              <w:rPr>
                <w:rFonts w:ascii="Verdana" w:hAnsi="Verdana"/>
                <w:sz w:val="20"/>
              </w:rPr>
              <w:t>CFETIJ</w:t>
            </w:r>
          </w:p>
        </w:tc>
      </w:tr>
    </w:tbl>
    <w:p w:rsidR="005B2A17" w:rsidRPr="005B2A17" w:rsidRDefault="005B2A17" w:rsidP="005B2A17">
      <w:pPr>
        <w:jc w:val="both"/>
        <w:rPr>
          <w:rFonts w:ascii="Verdana" w:hAnsi="Verdana"/>
          <w:sz w:val="20"/>
        </w:rPr>
      </w:pPr>
      <w:r w:rsidRPr="005B2A17">
        <w:rPr>
          <w:rFonts w:ascii="Verdana" w:hAnsi="Verdana"/>
          <w:sz w:val="20"/>
        </w:rPr>
        <w:lastRenderedPageBreak/>
        <w:t>          Ver ejemplo de Etiqueta Electrónica con el sistema eléctrico de WECC en el Anexo 4.</w:t>
      </w:r>
    </w:p>
    <w:p w:rsidR="005B2A17" w:rsidRPr="005B2A17" w:rsidRDefault="005B2A17" w:rsidP="005B2A17">
      <w:pPr>
        <w:jc w:val="both"/>
        <w:rPr>
          <w:rFonts w:ascii="Verdana" w:hAnsi="Verdana"/>
          <w:sz w:val="20"/>
        </w:rPr>
      </w:pPr>
      <w:r w:rsidRPr="005B2A17">
        <w:rPr>
          <w:rFonts w:ascii="Verdana" w:hAnsi="Verdana"/>
          <w:b/>
          <w:bCs/>
          <w:sz w:val="20"/>
        </w:rPr>
        <w:t>7.5</w:t>
      </w:r>
      <w:r w:rsidRPr="005B2A17">
        <w:rPr>
          <w:rFonts w:ascii="Verdana" w:hAnsi="Verdana"/>
          <w:sz w:val="20"/>
        </w:rPr>
        <w:t>      </w:t>
      </w:r>
      <w:r w:rsidRPr="005B2A17">
        <w:rPr>
          <w:rFonts w:ascii="Verdana" w:hAnsi="Verdana"/>
          <w:b/>
          <w:bCs/>
          <w:sz w:val="20"/>
        </w:rPr>
        <w:t>Programas de energía en el sistema eléctrico de Guatemala</w:t>
      </w:r>
    </w:p>
    <w:p w:rsidR="005B2A17" w:rsidRPr="005B2A17" w:rsidRDefault="005B2A17" w:rsidP="005B2A17">
      <w:pPr>
        <w:jc w:val="both"/>
        <w:rPr>
          <w:rFonts w:ascii="Verdana" w:hAnsi="Verdana"/>
          <w:sz w:val="20"/>
        </w:rPr>
      </w:pPr>
      <w:r w:rsidRPr="005B2A17">
        <w:rPr>
          <w:rFonts w:ascii="Verdana" w:hAnsi="Verdana"/>
          <w:b/>
          <w:bCs/>
          <w:sz w:val="20"/>
        </w:rPr>
        <w:t>7.5.1</w:t>
      </w:r>
      <w:r w:rsidRPr="005B2A17">
        <w:rPr>
          <w:rFonts w:ascii="Verdana" w:hAnsi="Verdana"/>
          <w:sz w:val="20"/>
        </w:rPr>
        <w:t>   El CENACE estará a cargo de la programación de las importaciones y exportaciones con el sistema eléctrico de Guatemala que fuera asignada en el Mercado del Día en Adelanto o por los Contratos de Interconexión, y será implementada de acuerdo con el Convenio para la Coordinación de la Operación de la Interconexión y la Administración de las Transacciones Comerciales Internacionales entre Guatemala y México. Es responsabilidad del Participante de Mercado proporcionar al CENACE la información necesaria para identificar el programa correspondiente registrado con el Administrador del Mercado Mayorista de Guatemala.</w:t>
      </w:r>
    </w:p>
    <w:p w:rsidR="005B2A17" w:rsidRPr="005B2A17" w:rsidRDefault="005B2A17" w:rsidP="005B2A17">
      <w:pPr>
        <w:jc w:val="both"/>
        <w:rPr>
          <w:rFonts w:ascii="Verdana" w:hAnsi="Verdana"/>
          <w:sz w:val="20"/>
        </w:rPr>
      </w:pPr>
      <w:r w:rsidRPr="005B2A17">
        <w:rPr>
          <w:rFonts w:ascii="Verdana" w:hAnsi="Verdana"/>
          <w:b/>
          <w:bCs/>
          <w:sz w:val="20"/>
        </w:rPr>
        <w:t>7.5.2</w:t>
      </w:r>
      <w:r w:rsidRPr="005B2A17">
        <w:rPr>
          <w:rFonts w:ascii="Verdana" w:hAnsi="Verdana"/>
          <w:sz w:val="20"/>
        </w:rPr>
        <w:t>   Los programas de intercambio definitivos serán publicados en el Sistema de Información del Mercado dentro de las 3 horas posteriores a la publicación de resultados del Mercado del Día en Adelanto para consulta de los Participantes del Mercado.</w:t>
      </w:r>
    </w:p>
    <w:p w:rsidR="005B2A17" w:rsidRPr="005B2A17" w:rsidRDefault="005B2A17" w:rsidP="005B2A17">
      <w:pPr>
        <w:jc w:val="both"/>
        <w:rPr>
          <w:rFonts w:ascii="Verdana" w:hAnsi="Verdana"/>
          <w:sz w:val="20"/>
        </w:rPr>
      </w:pPr>
      <w:r w:rsidRPr="005B2A17">
        <w:rPr>
          <w:rFonts w:ascii="Verdana" w:hAnsi="Verdana"/>
          <w:b/>
          <w:bCs/>
          <w:sz w:val="20"/>
        </w:rPr>
        <w:t>7.5.3</w:t>
      </w:r>
      <w:r w:rsidRPr="005B2A17">
        <w:rPr>
          <w:rFonts w:ascii="Verdana" w:hAnsi="Verdana"/>
          <w:sz w:val="20"/>
        </w:rPr>
        <w:t>   Ver ejemplo de programa de intercambio definitivo con el sistema eléctrico de Guatemala en el Anexo 5.</w:t>
      </w:r>
    </w:p>
    <w:p w:rsidR="005B2A17" w:rsidRPr="005B2A17" w:rsidRDefault="005B2A17" w:rsidP="005B2A17">
      <w:pPr>
        <w:jc w:val="both"/>
        <w:rPr>
          <w:rFonts w:ascii="Verdana" w:hAnsi="Verdana"/>
          <w:sz w:val="20"/>
        </w:rPr>
      </w:pPr>
      <w:r w:rsidRPr="005B2A17">
        <w:rPr>
          <w:rFonts w:ascii="Verdana" w:hAnsi="Verdana"/>
          <w:b/>
          <w:bCs/>
          <w:sz w:val="20"/>
        </w:rPr>
        <w:t>7.6</w:t>
      </w:r>
      <w:r w:rsidRPr="005B2A17">
        <w:rPr>
          <w:rFonts w:ascii="Verdana" w:hAnsi="Verdana"/>
          <w:sz w:val="20"/>
        </w:rPr>
        <w:t>      </w:t>
      </w:r>
      <w:r w:rsidRPr="005B2A17">
        <w:rPr>
          <w:rFonts w:ascii="Verdana" w:hAnsi="Verdana"/>
          <w:b/>
          <w:bCs/>
          <w:sz w:val="20"/>
        </w:rPr>
        <w:t>Programas de energía en el sistema eléctrico de Belice</w:t>
      </w:r>
    </w:p>
    <w:p w:rsidR="005B2A17" w:rsidRPr="005B2A17" w:rsidRDefault="005B2A17" w:rsidP="005B2A17">
      <w:pPr>
        <w:jc w:val="both"/>
        <w:rPr>
          <w:rFonts w:ascii="Verdana" w:hAnsi="Verdana"/>
          <w:sz w:val="20"/>
        </w:rPr>
      </w:pPr>
      <w:r w:rsidRPr="005B2A17">
        <w:rPr>
          <w:rFonts w:ascii="Verdana" w:hAnsi="Verdana"/>
          <w:b/>
          <w:bCs/>
          <w:sz w:val="20"/>
        </w:rPr>
        <w:t>7.6.1</w:t>
      </w:r>
      <w:r w:rsidRPr="005B2A17">
        <w:rPr>
          <w:rFonts w:ascii="Verdana" w:hAnsi="Verdana"/>
          <w:sz w:val="20"/>
        </w:rPr>
        <w:t xml:space="preserve">   El CENACE estará a cargo de la programación de las importaciones y exportaciones con el sistema eléctrico de Belice que fuera asignada en el Mercado del Día en Adelanto o por los Contratos de Interconexión, y será implementada de acuerdo con el Convenio para la Coordinación de la Operación de la Interconexión y la Administración de las Transacciones Comerciales Internacionales entre Belice y México. Es responsabilidad del Participante de </w:t>
      </w:r>
      <w:proofErr w:type="spellStart"/>
      <w:r w:rsidRPr="005B2A17">
        <w:rPr>
          <w:rFonts w:ascii="Verdana" w:hAnsi="Verdana"/>
          <w:sz w:val="20"/>
        </w:rPr>
        <w:t>Mercadoproporcionar</w:t>
      </w:r>
      <w:proofErr w:type="spellEnd"/>
      <w:r w:rsidRPr="005B2A17">
        <w:rPr>
          <w:rFonts w:ascii="Verdana" w:hAnsi="Verdana"/>
          <w:sz w:val="20"/>
        </w:rPr>
        <w:t xml:space="preserve"> al CENACE la información necesaria para identificar el programa correspondiente registrado con el operador del sistema eléctrico de Belice (BEL).</w:t>
      </w:r>
    </w:p>
    <w:p w:rsidR="005B2A17" w:rsidRPr="005B2A17" w:rsidRDefault="005B2A17" w:rsidP="005B2A17">
      <w:pPr>
        <w:jc w:val="both"/>
        <w:rPr>
          <w:rFonts w:ascii="Verdana" w:hAnsi="Verdana"/>
          <w:sz w:val="20"/>
        </w:rPr>
      </w:pPr>
      <w:r w:rsidRPr="005B2A17">
        <w:rPr>
          <w:rFonts w:ascii="Verdana" w:hAnsi="Verdana"/>
          <w:b/>
          <w:bCs/>
          <w:sz w:val="20"/>
        </w:rPr>
        <w:t>7.6.2</w:t>
      </w:r>
      <w:r w:rsidRPr="005B2A17">
        <w:rPr>
          <w:rFonts w:ascii="Verdana" w:hAnsi="Verdana"/>
          <w:sz w:val="20"/>
        </w:rPr>
        <w:t>   Los programas de intercambio definitivos serán publicados en el Sistema de Información del Mercado dentro de las 3 horas posteriores a la publicación de resultados del Mercado del Día en Adelanto para consulta de los Participantes del Mercado.</w:t>
      </w:r>
    </w:p>
    <w:p w:rsidR="005B2A17" w:rsidRPr="005B2A17" w:rsidRDefault="005B2A17" w:rsidP="005B2A17">
      <w:pPr>
        <w:jc w:val="both"/>
        <w:rPr>
          <w:rFonts w:ascii="Verdana" w:hAnsi="Verdana"/>
          <w:sz w:val="20"/>
        </w:rPr>
      </w:pPr>
      <w:r w:rsidRPr="005B2A17">
        <w:rPr>
          <w:rFonts w:ascii="Verdana" w:hAnsi="Verdana"/>
          <w:b/>
          <w:bCs/>
          <w:sz w:val="20"/>
        </w:rPr>
        <w:t>7.6.3</w:t>
      </w:r>
      <w:r w:rsidRPr="005B2A17">
        <w:rPr>
          <w:rFonts w:ascii="Verdana" w:hAnsi="Verdana"/>
          <w:sz w:val="20"/>
        </w:rPr>
        <w:t>   Ver ejemplo de programa de intercambio definitivo con el sistema eléctrico de Belice en el Anexo 6.</w:t>
      </w:r>
    </w:p>
    <w:p w:rsidR="005B2A17" w:rsidRPr="005B2A17" w:rsidRDefault="005B2A17" w:rsidP="005B2A17">
      <w:pPr>
        <w:jc w:val="both"/>
        <w:rPr>
          <w:rFonts w:ascii="Verdana" w:hAnsi="Verdana"/>
          <w:sz w:val="20"/>
        </w:rPr>
      </w:pPr>
      <w:r w:rsidRPr="005B2A17">
        <w:rPr>
          <w:rFonts w:ascii="Verdana" w:hAnsi="Verdana"/>
          <w:sz w:val="20"/>
        </w:rPr>
        <w:t> </w:t>
      </w:r>
    </w:p>
    <w:p w:rsidR="005B2A17" w:rsidRPr="005B2A17" w:rsidRDefault="005B2A17" w:rsidP="005B2A17">
      <w:pPr>
        <w:jc w:val="both"/>
        <w:rPr>
          <w:rFonts w:ascii="Verdana" w:hAnsi="Verdana"/>
          <w:sz w:val="20"/>
        </w:rPr>
      </w:pPr>
      <w:r w:rsidRPr="005B2A17">
        <w:rPr>
          <w:rFonts w:ascii="Verdana" w:hAnsi="Verdana"/>
          <w:b/>
          <w:bCs/>
          <w:sz w:val="20"/>
        </w:rPr>
        <w:t>CAPÍTULO 8</w:t>
      </w:r>
    </w:p>
    <w:p w:rsidR="005B2A17" w:rsidRPr="005B2A17" w:rsidRDefault="005B2A17" w:rsidP="005B2A17">
      <w:pPr>
        <w:jc w:val="both"/>
        <w:rPr>
          <w:rFonts w:ascii="Verdana" w:hAnsi="Verdana"/>
          <w:sz w:val="20"/>
        </w:rPr>
      </w:pPr>
      <w:r w:rsidRPr="005B2A17">
        <w:rPr>
          <w:rFonts w:ascii="Verdana" w:hAnsi="Verdana"/>
          <w:b/>
          <w:bCs/>
          <w:sz w:val="20"/>
        </w:rPr>
        <w:t>Reducciones a los programas de importación y exportación</w:t>
      </w:r>
    </w:p>
    <w:p w:rsidR="005B2A17" w:rsidRPr="005B2A17" w:rsidRDefault="005B2A17" w:rsidP="005B2A17">
      <w:pPr>
        <w:jc w:val="both"/>
        <w:rPr>
          <w:rFonts w:ascii="Verdana" w:hAnsi="Verdana"/>
          <w:sz w:val="20"/>
        </w:rPr>
      </w:pPr>
      <w:r w:rsidRPr="005B2A17">
        <w:rPr>
          <w:rFonts w:ascii="Verdana" w:hAnsi="Verdana"/>
          <w:b/>
          <w:bCs/>
          <w:sz w:val="20"/>
        </w:rPr>
        <w:t>8.1.1</w:t>
      </w:r>
      <w:r w:rsidRPr="005B2A17">
        <w:rPr>
          <w:rFonts w:ascii="Verdana" w:hAnsi="Verdana"/>
          <w:sz w:val="20"/>
        </w:rPr>
        <w:t xml:space="preserve">   El CENACE podrá en cualquier momento reducir parcial o totalmente las importaciones y exportaciones programadas a los Participantes del Mercado en el Mercado del Día en Adelanto o a la programación del Generador de Intermediación al </w:t>
      </w:r>
      <w:r w:rsidRPr="005B2A17">
        <w:rPr>
          <w:rFonts w:ascii="Verdana" w:hAnsi="Verdana"/>
          <w:sz w:val="20"/>
        </w:rPr>
        <w:lastRenderedPageBreak/>
        <w:t>cierre del Mercado del Día en Adelanto, sin incurrir en responsabilidad alguna cuando las causas sean las siguientes:</w:t>
      </w:r>
    </w:p>
    <w:p w:rsidR="005B2A17" w:rsidRPr="005B2A17" w:rsidRDefault="005B2A17" w:rsidP="005B2A17">
      <w:pPr>
        <w:jc w:val="both"/>
        <w:rPr>
          <w:rFonts w:ascii="Verdana" w:hAnsi="Verdana"/>
          <w:sz w:val="20"/>
        </w:rPr>
      </w:pPr>
      <w:r w:rsidRPr="005B2A17">
        <w:rPr>
          <w:rFonts w:ascii="Verdana" w:hAnsi="Verdana"/>
          <w:sz w:val="20"/>
        </w:rPr>
        <w:t>(a)  En caso de un estado operativo de alerta, emergencia o restauración, o cuando se presenten condiciones que pongan en riesgo la Confiabilidad en el Sistema Eléctrico Nacional y una vez que el CENACE haya agotado las medidas que sean necesarias para garantizar la Confiabilidad, seguridad y el abastecimiento de energía eléctrica en el país.</w:t>
      </w:r>
    </w:p>
    <w:p w:rsidR="005B2A17" w:rsidRPr="005B2A17" w:rsidRDefault="005B2A17" w:rsidP="005B2A17">
      <w:pPr>
        <w:jc w:val="both"/>
        <w:rPr>
          <w:rFonts w:ascii="Verdana" w:hAnsi="Verdana"/>
          <w:sz w:val="20"/>
        </w:rPr>
      </w:pPr>
      <w:r w:rsidRPr="005B2A17">
        <w:rPr>
          <w:rFonts w:ascii="Verdana" w:hAnsi="Verdana"/>
          <w:sz w:val="20"/>
        </w:rPr>
        <w:t>(b)  Cuando se presenten reducciones en la Capacidad Absoluta de Transferencia Disponible en los Enlaces de Interconexión.</w:t>
      </w:r>
    </w:p>
    <w:p w:rsidR="005B2A17" w:rsidRPr="005B2A17" w:rsidRDefault="005B2A17" w:rsidP="005B2A17">
      <w:pPr>
        <w:jc w:val="both"/>
        <w:rPr>
          <w:rFonts w:ascii="Verdana" w:hAnsi="Verdana"/>
          <w:sz w:val="20"/>
        </w:rPr>
      </w:pPr>
      <w:r w:rsidRPr="005B2A17">
        <w:rPr>
          <w:rFonts w:ascii="Verdana" w:hAnsi="Verdana"/>
          <w:sz w:val="20"/>
        </w:rPr>
        <w:t>(c)  Cuando el Punto de Entrega o Punto de Recepción quede indisponible.</w:t>
      </w:r>
    </w:p>
    <w:p w:rsidR="005B2A17" w:rsidRPr="005B2A17" w:rsidRDefault="005B2A17" w:rsidP="005B2A17">
      <w:pPr>
        <w:jc w:val="both"/>
        <w:rPr>
          <w:rFonts w:ascii="Verdana" w:hAnsi="Verdana"/>
          <w:sz w:val="20"/>
        </w:rPr>
      </w:pPr>
      <w:r w:rsidRPr="005B2A17">
        <w:rPr>
          <w:rFonts w:ascii="Verdana" w:hAnsi="Verdana"/>
          <w:sz w:val="20"/>
        </w:rPr>
        <w:t>(d)  Por solicitud del operador del Sistema Eléctrico Vecino cuando se presenten reducciones en la Capacidad Absoluta de Transferencia Disponible en los Enlaces de Interconexión o se presenten condiciones de emergencia o por Confiabilidad de Sistema Eléctrico Vecino.</w:t>
      </w:r>
    </w:p>
    <w:p w:rsidR="005B2A17" w:rsidRPr="005B2A17" w:rsidRDefault="005B2A17" w:rsidP="005B2A17">
      <w:pPr>
        <w:jc w:val="both"/>
        <w:rPr>
          <w:rFonts w:ascii="Verdana" w:hAnsi="Verdana"/>
          <w:sz w:val="20"/>
        </w:rPr>
      </w:pPr>
      <w:r w:rsidRPr="005B2A17">
        <w:rPr>
          <w:rFonts w:ascii="Verdana" w:hAnsi="Verdana"/>
          <w:sz w:val="20"/>
        </w:rPr>
        <w:t>(e)  Los demás que se establezcan en el Código de Red o demás disposiciones aplicables en materia de Confiabilidad.</w:t>
      </w:r>
    </w:p>
    <w:p w:rsidR="005B2A17" w:rsidRPr="005B2A17" w:rsidRDefault="005B2A17" w:rsidP="005B2A17">
      <w:pPr>
        <w:jc w:val="both"/>
        <w:rPr>
          <w:rFonts w:ascii="Verdana" w:hAnsi="Verdana"/>
          <w:sz w:val="20"/>
        </w:rPr>
      </w:pPr>
      <w:r w:rsidRPr="005B2A17">
        <w:rPr>
          <w:rFonts w:ascii="Verdana" w:hAnsi="Verdana"/>
          <w:sz w:val="20"/>
        </w:rPr>
        <w:t>(f)   Cuando el programa de exportación del Generador de Intermediación se encuentre asociada a una Central Eléctrica o Unidad de Central Eléctrica y ésta llegue a estar indisponible, </w:t>
      </w:r>
      <w:proofErr w:type="spellStart"/>
      <w:r w:rsidRPr="005B2A17">
        <w:rPr>
          <w:rFonts w:ascii="Verdana" w:hAnsi="Verdana"/>
          <w:sz w:val="20"/>
        </w:rPr>
        <w:t>derrateada</w:t>
      </w:r>
      <w:proofErr w:type="spellEnd"/>
      <w:r w:rsidRPr="005B2A17">
        <w:rPr>
          <w:rFonts w:ascii="Verdana" w:hAnsi="Verdana"/>
          <w:sz w:val="20"/>
        </w:rPr>
        <w:t xml:space="preserve"> u otra condición que lo imposibilite cumplir con su programa de exportación.</w:t>
      </w:r>
    </w:p>
    <w:p w:rsidR="005B2A17" w:rsidRPr="005B2A17" w:rsidRDefault="005B2A17" w:rsidP="005B2A17">
      <w:pPr>
        <w:jc w:val="both"/>
        <w:rPr>
          <w:rFonts w:ascii="Verdana" w:hAnsi="Verdana"/>
          <w:sz w:val="20"/>
        </w:rPr>
      </w:pPr>
      <w:r w:rsidRPr="005B2A17">
        <w:rPr>
          <w:rFonts w:ascii="Verdana" w:hAnsi="Verdana"/>
          <w:b/>
          <w:bCs/>
          <w:sz w:val="20"/>
        </w:rPr>
        <w:t>8.1.2</w:t>
      </w:r>
      <w:r w:rsidRPr="005B2A17">
        <w:rPr>
          <w:rFonts w:ascii="Verdana" w:hAnsi="Verdana"/>
          <w:sz w:val="20"/>
        </w:rPr>
        <w:t>   EL CENACE no reducirá parcial o totalmente las importaciones y exportaciones programadas por los Participantes del Mercado en el Mercado del Día en Adelanto o por el Generador de Intermediación al cierre del Mercado del Día en Adelanto cuando dichas transacciones comerciales vayan en el sentido que mejora la confiabilidad del Sistema Eléctrico Nacional.</w:t>
      </w:r>
    </w:p>
    <w:p w:rsidR="005B2A17" w:rsidRPr="005B2A17" w:rsidRDefault="005B2A17" w:rsidP="005B2A17">
      <w:pPr>
        <w:jc w:val="both"/>
        <w:rPr>
          <w:rFonts w:ascii="Verdana" w:hAnsi="Verdana"/>
          <w:sz w:val="20"/>
        </w:rPr>
      </w:pPr>
      <w:r w:rsidRPr="005B2A17">
        <w:rPr>
          <w:rFonts w:ascii="Verdana" w:hAnsi="Verdana"/>
          <w:b/>
          <w:bCs/>
          <w:sz w:val="20"/>
        </w:rPr>
        <w:t>8.1.3</w:t>
      </w:r>
      <w:r w:rsidRPr="005B2A17">
        <w:rPr>
          <w:rFonts w:ascii="Verdana" w:hAnsi="Verdana"/>
          <w:sz w:val="20"/>
        </w:rPr>
        <w:t>   Las reducciones o interrupciones necesarias a los programas de importación y exportación serán implementadas en el siguiente orden:</w:t>
      </w:r>
    </w:p>
    <w:p w:rsidR="005B2A17" w:rsidRPr="005B2A17" w:rsidRDefault="005B2A17" w:rsidP="005B2A17">
      <w:pPr>
        <w:jc w:val="both"/>
        <w:rPr>
          <w:rFonts w:ascii="Verdana" w:hAnsi="Verdana"/>
          <w:sz w:val="20"/>
        </w:rPr>
      </w:pPr>
      <w:r w:rsidRPr="005B2A17">
        <w:rPr>
          <w:rFonts w:ascii="Verdana" w:hAnsi="Verdana"/>
          <w:sz w:val="20"/>
        </w:rPr>
        <w:t>(a)  Se ajustarán las Etiquetas Electrónicas del Generador de Intermediación en forma proporcional a las programadas.</w:t>
      </w:r>
    </w:p>
    <w:p w:rsidR="005B2A17" w:rsidRPr="005B2A17" w:rsidRDefault="005B2A17" w:rsidP="005B2A17">
      <w:pPr>
        <w:jc w:val="both"/>
        <w:rPr>
          <w:rFonts w:ascii="Verdana" w:hAnsi="Verdana"/>
          <w:sz w:val="20"/>
        </w:rPr>
      </w:pPr>
      <w:r w:rsidRPr="005B2A17">
        <w:rPr>
          <w:rFonts w:ascii="Verdana" w:hAnsi="Verdana"/>
          <w:sz w:val="20"/>
        </w:rPr>
        <w:t>(b)  Se ajustarán las Etiquetas Electrónicas de los demás Participantes del Mercado, para importación de mayor a menor costo de la oferta en el Mercado del Día en Adelanto y para exportación de menor a mayor costo de la oferta en el Mercado del Día en Adelanto. En caso de tener el mismo costo, se ajustarán en forma proporcional, en caso de resultar fracciones, éstas se redondearán de igual forma a lo establecido en el numeral 6.11.4</w:t>
      </w:r>
    </w:p>
    <w:p w:rsidR="005B2A17" w:rsidRPr="005B2A17" w:rsidRDefault="005B2A17" w:rsidP="005B2A17">
      <w:pPr>
        <w:jc w:val="both"/>
        <w:rPr>
          <w:rFonts w:ascii="Verdana" w:hAnsi="Verdana"/>
          <w:sz w:val="20"/>
        </w:rPr>
      </w:pPr>
      <w:r w:rsidRPr="005B2A17">
        <w:rPr>
          <w:rFonts w:ascii="Verdana" w:hAnsi="Verdana"/>
          <w:sz w:val="20"/>
        </w:rPr>
        <w:t>(c)  El CENACE aplicará excepciones a lo anterior, cuando sea necesaria para cumplir con las solicitudes del operador de Sistema Eléctrico Vecino.</w:t>
      </w:r>
    </w:p>
    <w:p w:rsidR="005B2A17" w:rsidRPr="005B2A17" w:rsidRDefault="005B2A17" w:rsidP="005B2A17">
      <w:pPr>
        <w:jc w:val="both"/>
        <w:rPr>
          <w:rFonts w:ascii="Verdana" w:hAnsi="Verdana"/>
          <w:sz w:val="20"/>
        </w:rPr>
      </w:pPr>
      <w:r w:rsidRPr="005B2A17">
        <w:rPr>
          <w:rFonts w:ascii="Verdana" w:hAnsi="Verdana"/>
          <w:b/>
          <w:bCs/>
          <w:sz w:val="20"/>
        </w:rPr>
        <w:lastRenderedPageBreak/>
        <w:t>8.1.4</w:t>
      </w:r>
      <w:r w:rsidRPr="005B2A17">
        <w:rPr>
          <w:rFonts w:ascii="Verdana" w:hAnsi="Verdana"/>
          <w:sz w:val="20"/>
        </w:rPr>
        <w:t xml:space="preserve">   El Generador de Intermediación ante reducciones o interrupciones a los programas fijos de importación aceptados en el Mercado de Día en Adelanto, deberá notificar al CENACE sobre la distribución final horaria de los programas de importación de cada Contrato de Interconexión Legado, así como los perfiles de importación (porteo) en periodos de cada 5 minutos (cinco minútales), dicha notificación debe ocurrir a más tardar 2 días naturales después del día </w:t>
      </w:r>
      <w:proofErr w:type="spellStart"/>
      <w:r w:rsidRPr="005B2A17">
        <w:rPr>
          <w:rFonts w:ascii="Verdana" w:hAnsi="Verdana"/>
          <w:sz w:val="20"/>
        </w:rPr>
        <w:t>deoperación</w:t>
      </w:r>
      <w:proofErr w:type="spellEnd"/>
      <w:r w:rsidRPr="005B2A17">
        <w:rPr>
          <w:rFonts w:ascii="Verdana" w:hAnsi="Verdana"/>
          <w:sz w:val="20"/>
        </w:rPr>
        <w:t xml:space="preserve"> para efecto de liquidación en el Mercado Eléctrico Mayorista.</w:t>
      </w:r>
    </w:p>
    <w:p w:rsidR="005B2A17" w:rsidRPr="005B2A17" w:rsidRDefault="005B2A17" w:rsidP="005B2A17">
      <w:pPr>
        <w:jc w:val="both"/>
        <w:rPr>
          <w:rFonts w:ascii="Verdana" w:hAnsi="Verdana"/>
          <w:sz w:val="20"/>
        </w:rPr>
      </w:pPr>
      <w:r w:rsidRPr="005B2A17">
        <w:rPr>
          <w:rFonts w:ascii="Verdana" w:hAnsi="Verdana"/>
          <w:sz w:val="20"/>
        </w:rPr>
        <w:t>Por ninguna razón los Participantes del Mercado podrán realizar reducciones a las Etiquetas Electrónicas una vez implementadas. Las únicas entidades que pueden realizarlos son el CENACE y las autoridades y operadores de transmisión de los Sistemas Eléctricos Vecinos.</w:t>
      </w:r>
    </w:p>
    <w:p w:rsidR="005B2A17" w:rsidRPr="005B2A17" w:rsidRDefault="005B2A17" w:rsidP="005B2A17">
      <w:pPr>
        <w:jc w:val="both"/>
        <w:rPr>
          <w:rFonts w:ascii="Verdana" w:hAnsi="Verdana"/>
          <w:sz w:val="20"/>
        </w:rPr>
      </w:pPr>
      <w:r w:rsidRPr="005B2A17">
        <w:rPr>
          <w:rFonts w:ascii="Verdana" w:hAnsi="Verdana"/>
          <w:sz w:val="20"/>
        </w:rPr>
        <w:t> </w:t>
      </w:r>
    </w:p>
    <w:p w:rsidR="005B2A17" w:rsidRPr="005B2A17" w:rsidRDefault="005B2A17" w:rsidP="005B2A17">
      <w:pPr>
        <w:jc w:val="both"/>
        <w:rPr>
          <w:rFonts w:ascii="Verdana" w:hAnsi="Verdana"/>
          <w:sz w:val="20"/>
        </w:rPr>
      </w:pPr>
      <w:r w:rsidRPr="005B2A17">
        <w:rPr>
          <w:rFonts w:ascii="Verdana" w:hAnsi="Verdana"/>
          <w:b/>
          <w:bCs/>
          <w:sz w:val="20"/>
        </w:rPr>
        <w:t>CAPÍTULO 9</w:t>
      </w:r>
    </w:p>
    <w:p w:rsidR="005B2A17" w:rsidRPr="005B2A17" w:rsidRDefault="005B2A17" w:rsidP="005B2A17">
      <w:pPr>
        <w:jc w:val="both"/>
        <w:rPr>
          <w:rFonts w:ascii="Verdana" w:hAnsi="Verdana"/>
          <w:sz w:val="20"/>
        </w:rPr>
      </w:pPr>
      <w:r w:rsidRPr="005B2A17">
        <w:rPr>
          <w:rFonts w:ascii="Verdana" w:hAnsi="Verdana"/>
          <w:b/>
          <w:bCs/>
          <w:sz w:val="20"/>
        </w:rPr>
        <w:t>Importaciones y exportaciones por Confiabilidad y/o emergencia</w:t>
      </w:r>
    </w:p>
    <w:p w:rsidR="005B2A17" w:rsidRPr="005B2A17" w:rsidRDefault="005B2A17" w:rsidP="005B2A17">
      <w:pPr>
        <w:jc w:val="both"/>
        <w:rPr>
          <w:rFonts w:ascii="Verdana" w:hAnsi="Verdana"/>
          <w:sz w:val="20"/>
        </w:rPr>
      </w:pPr>
      <w:r w:rsidRPr="005B2A17">
        <w:rPr>
          <w:rFonts w:ascii="Verdana" w:hAnsi="Verdana"/>
          <w:b/>
          <w:bCs/>
          <w:sz w:val="20"/>
        </w:rPr>
        <w:t>9.1</w:t>
      </w:r>
      <w:r w:rsidRPr="005B2A17">
        <w:rPr>
          <w:rFonts w:ascii="Verdana" w:hAnsi="Verdana"/>
          <w:sz w:val="20"/>
        </w:rPr>
        <w:t>      </w:t>
      </w:r>
      <w:r w:rsidRPr="005B2A17">
        <w:rPr>
          <w:rFonts w:ascii="Verdana" w:hAnsi="Verdana"/>
          <w:b/>
          <w:bCs/>
          <w:sz w:val="20"/>
        </w:rPr>
        <w:t>Disposiciones Generales</w:t>
      </w:r>
    </w:p>
    <w:p w:rsidR="005B2A17" w:rsidRPr="005B2A17" w:rsidRDefault="005B2A17" w:rsidP="005B2A17">
      <w:pPr>
        <w:jc w:val="both"/>
        <w:rPr>
          <w:rFonts w:ascii="Verdana" w:hAnsi="Verdana"/>
          <w:sz w:val="20"/>
        </w:rPr>
      </w:pPr>
      <w:r w:rsidRPr="005B2A17">
        <w:rPr>
          <w:rFonts w:ascii="Verdana" w:hAnsi="Verdana"/>
          <w:b/>
          <w:bCs/>
          <w:sz w:val="20"/>
        </w:rPr>
        <w:t>9.1.1</w:t>
      </w:r>
      <w:r w:rsidRPr="005B2A17">
        <w:rPr>
          <w:rFonts w:ascii="Verdana" w:hAnsi="Verdana"/>
          <w:sz w:val="20"/>
        </w:rPr>
        <w:t>    El CENACE podrá firmar contratos con los operadores de los Sistemas Eléctricos Vecinos para compartir reservas, dar apoyo mutuo en condiciones de alerta y condiciones de emergencia, y los demás que se requieran para asegurar por condiciones de Confiabilidad en el Sistema Eléctrico Nacional o en los Sistemas Eléctricos Vecinos.</w:t>
      </w:r>
    </w:p>
    <w:p w:rsidR="005B2A17" w:rsidRPr="005B2A17" w:rsidRDefault="005B2A17" w:rsidP="005B2A17">
      <w:pPr>
        <w:jc w:val="both"/>
        <w:rPr>
          <w:rFonts w:ascii="Verdana" w:hAnsi="Verdana"/>
          <w:sz w:val="20"/>
        </w:rPr>
      </w:pPr>
      <w:r w:rsidRPr="005B2A17">
        <w:rPr>
          <w:rFonts w:ascii="Verdana" w:hAnsi="Verdana"/>
          <w:b/>
          <w:bCs/>
          <w:sz w:val="20"/>
        </w:rPr>
        <w:t>9.1.2</w:t>
      </w:r>
      <w:r w:rsidRPr="005B2A17">
        <w:rPr>
          <w:rFonts w:ascii="Verdana" w:hAnsi="Verdana"/>
          <w:sz w:val="20"/>
        </w:rPr>
        <w:t>    El CENACE podrá establecer programas de importación y exportación con el fin de asegurar condiciones de Confiabilidad en el Sistema Eléctrico Nacional o en los Sistemas Eléctricos Vecinos.</w:t>
      </w:r>
    </w:p>
    <w:p w:rsidR="005B2A17" w:rsidRPr="005B2A17" w:rsidRDefault="005B2A17" w:rsidP="005B2A17">
      <w:pPr>
        <w:jc w:val="both"/>
        <w:rPr>
          <w:rFonts w:ascii="Verdana" w:hAnsi="Verdana"/>
          <w:sz w:val="20"/>
        </w:rPr>
      </w:pPr>
      <w:r w:rsidRPr="005B2A17">
        <w:rPr>
          <w:rFonts w:ascii="Verdana" w:hAnsi="Verdana"/>
          <w:b/>
          <w:bCs/>
          <w:sz w:val="20"/>
        </w:rPr>
        <w:t>9.1.3</w:t>
      </w:r>
      <w:r w:rsidRPr="005B2A17">
        <w:rPr>
          <w:rFonts w:ascii="Verdana" w:hAnsi="Verdana"/>
          <w:sz w:val="20"/>
        </w:rPr>
        <w:t>    Los ingresos y pagos que resulten por los programas de importación o exportación de energía de los Sistemas Eléctricos Vecinos en los términos del presente capítulo se asignarán a las Entidades Responsables de Carga, de conformidad con el Manual de Liquidaciones.</w:t>
      </w:r>
    </w:p>
    <w:p w:rsidR="005B2A17" w:rsidRPr="005B2A17" w:rsidRDefault="005B2A17" w:rsidP="005B2A17">
      <w:pPr>
        <w:jc w:val="both"/>
        <w:rPr>
          <w:rFonts w:ascii="Verdana" w:hAnsi="Verdana"/>
          <w:sz w:val="20"/>
        </w:rPr>
      </w:pPr>
      <w:r w:rsidRPr="005B2A17">
        <w:rPr>
          <w:rFonts w:ascii="Verdana" w:hAnsi="Verdana"/>
          <w:b/>
          <w:bCs/>
          <w:sz w:val="20"/>
        </w:rPr>
        <w:t>9.1.4</w:t>
      </w:r>
      <w:r w:rsidRPr="005B2A17">
        <w:rPr>
          <w:rFonts w:ascii="Verdana" w:hAnsi="Verdana"/>
          <w:sz w:val="20"/>
        </w:rPr>
        <w:t>    En caso de que existan otros rubros de cobro o pago que se deriven del intercambio por confiabilidad y/o emergencia con los Sistemas Eléctricos Vecinos, se integrarán al Precio con el que se distribuya el cobro o pago por confiabilidad y/o emergencia entre los Participantes del Mercado, en términos del Manual de Liquidaciones. En particular, se distribuirán los costos de los certificados asociados con los gases de efecto invernadero, cuando el CENACE se obligue a obtenerlos como resultado de los programas de exportación por confiabilidad y emergencia.</w:t>
      </w:r>
    </w:p>
    <w:p w:rsidR="005B2A17" w:rsidRPr="005B2A17" w:rsidRDefault="005B2A17" w:rsidP="005B2A17">
      <w:pPr>
        <w:jc w:val="both"/>
        <w:rPr>
          <w:rFonts w:ascii="Verdana" w:hAnsi="Verdana"/>
          <w:sz w:val="20"/>
        </w:rPr>
      </w:pPr>
      <w:r w:rsidRPr="005B2A17">
        <w:rPr>
          <w:rFonts w:ascii="Verdana" w:hAnsi="Verdana"/>
          <w:b/>
          <w:bCs/>
          <w:sz w:val="20"/>
        </w:rPr>
        <w:t>9.1.5</w:t>
      </w:r>
      <w:r w:rsidRPr="005B2A17">
        <w:rPr>
          <w:rFonts w:ascii="Verdana" w:hAnsi="Verdana"/>
          <w:sz w:val="20"/>
        </w:rPr>
        <w:t xml:space="preserve">    En el caso de importaciones por Confiabilidad del Sistema Eléctrico Nacional o exportaciones por Confiabilidad de los Sistemas Eléctricos Vecinos, el CENACE deberá programar las transacciones en términos de convenios de compartición de reservas, convenios de apoyo en emergencia o similares, celebrados con los operadores de los Sistemas Eléctricos Vecinos. En el caso particular de exportaciones por Confiabilidad </w:t>
      </w:r>
      <w:r w:rsidRPr="005B2A17">
        <w:rPr>
          <w:rFonts w:ascii="Verdana" w:hAnsi="Verdana"/>
          <w:sz w:val="20"/>
        </w:rPr>
        <w:lastRenderedPageBreak/>
        <w:t>del Sistema Eléctrico Nacional que resulten de condiciones de exceso de generación no resueltas en el Mercado del Día en Adelanto, el CENACE podrá programar dichas exportaciones mediante ofertas comerciales con los Sistemas Eléctricos Vecinos.</w:t>
      </w:r>
    </w:p>
    <w:p w:rsidR="005B2A17" w:rsidRPr="005B2A17" w:rsidRDefault="005B2A17" w:rsidP="005B2A17">
      <w:pPr>
        <w:jc w:val="both"/>
        <w:rPr>
          <w:rFonts w:ascii="Verdana" w:hAnsi="Verdana"/>
          <w:sz w:val="20"/>
        </w:rPr>
      </w:pPr>
      <w:r w:rsidRPr="005B2A17">
        <w:rPr>
          <w:rFonts w:ascii="Verdana" w:hAnsi="Verdana"/>
          <w:b/>
          <w:bCs/>
          <w:sz w:val="20"/>
        </w:rPr>
        <w:t>9.1.6</w:t>
      </w:r>
      <w:r w:rsidRPr="005B2A17">
        <w:rPr>
          <w:rFonts w:ascii="Verdana" w:hAnsi="Verdana"/>
          <w:sz w:val="20"/>
        </w:rPr>
        <w:t>    El CENACE podrá realizar importaciones y exportaciones de energía en un estado operativo de emergencia fuera de los tiempos establecidos en el Mercado del Día en Adelanto y en el Mercado de Tiempo Real cuando sea necesario para asegurar condiciones de Confiabilidad en el Sistema Eléctrico Nacional o en los Sistemas Eléctricos Vecinos.</w:t>
      </w:r>
    </w:p>
    <w:p w:rsidR="005B2A17" w:rsidRPr="005B2A17" w:rsidRDefault="005B2A17" w:rsidP="005B2A17">
      <w:pPr>
        <w:jc w:val="both"/>
        <w:rPr>
          <w:rFonts w:ascii="Verdana" w:hAnsi="Verdana"/>
          <w:sz w:val="20"/>
        </w:rPr>
      </w:pPr>
      <w:r w:rsidRPr="005B2A17">
        <w:rPr>
          <w:rFonts w:ascii="Verdana" w:hAnsi="Verdana"/>
          <w:b/>
          <w:bCs/>
          <w:sz w:val="20"/>
        </w:rPr>
        <w:t>9.2</w:t>
      </w:r>
      <w:r w:rsidRPr="005B2A17">
        <w:rPr>
          <w:rFonts w:ascii="Verdana" w:hAnsi="Verdana"/>
          <w:sz w:val="20"/>
        </w:rPr>
        <w:t>      </w:t>
      </w:r>
      <w:r w:rsidRPr="005B2A17">
        <w:rPr>
          <w:rFonts w:ascii="Verdana" w:hAnsi="Verdana"/>
          <w:b/>
          <w:bCs/>
          <w:sz w:val="20"/>
        </w:rPr>
        <w:t>Procedimiento para importación y exportación por Confiabilidad y/o emergencia</w:t>
      </w:r>
    </w:p>
    <w:p w:rsidR="005B2A17" w:rsidRPr="005B2A17" w:rsidRDefault="005B2A17" w:rsidP="005B2A17">
      <w:pPr>
        <w:jc w:val="both"/>
        <w:rPr>
          <w:rFonts w:ascii="Verdana" w:hAnsi="Verdana"/>
          <w:sz w:val="20"/>
        </w:rPr>
      </w:pPr>
      <w:r w:rsidRPr="005B2A17">
        <w:rPr>
          <w:rFonts w:ascii="Verdana" w:hAnsi="Verdana"/>
          <w:b/>
          <w:bCs/>
          <w:sz w:val="20"/>
        </w:rPr>
        <w:t>9.2.1</w:t>
      </w:r>
      <w:r w:rsidRPr="005B2A17">
        <w:rPr>
          <w:rFonts w:ascii="Verdana" w:hAnsi="Verdana"/>
          <w:sz w:val="20"/>
        </w:rPr>
        <w:t xml:space="preserve">    La Unidad de Vigilancia del Mercado establecerá los precios </w:t>
      </w:r>
      <w:proofErr w:type="gramStart"/>
      <w:r w:rsidRPr="005B2A17">
        <w:rPr>
          <w:rFonts w:ascii="Verdana" w:hAnsi="Verdana"/>
          <w:sz w:val="20"/>
        </w:rPr>
        <w:t>tope aplicables</w:t>
      </w:r>
      <w:proofErr w:type="gramEnd"/>
      <w:r w:rsidRPr="005B2A17">
        <w:rPr>
          <w:rFonts w:ascii="Verdana" w:hAnsi="Verdana"/>
          <w:sz w:val="20"/>
        </w:rPr>
        <w:t xml:space="preserve"> a las ofertas de venta por importación, y los precios piso aplicables a las ofertas de compra para exportación. Las ofertas de los Participantes de Mercado cuyos precios rebasen estos límites serán rechazadas y no se consideran en el proceso de Asignación y Despacho del Mercado del Día en Adelanto.</w:t>
      </w:r>
    </w:p>
    <w:p w:rsidR="005B2A17" w:rsidRPr="005B2A17" w:rsidRDefault="005B2A17" w:rsidP="005B2A17">
      <w:pPr>
        <w:jc w:val="both"/>
        <w:rPr>
          <w:rFonts w:ascii="Verdana" w:hAnsi="Verdana"/>
          <w:sz w:val="20"/>
        </w:rPr>
      </w:pPr>
      <w:r w:rsidRPr="005B2A17">
        <w:rPr>
          <w:rFonts w:ascii="Verdana" w:hAnsi="Verdana"/>
          <w:b/>
          <w:bCs/>
          <w:sz w:val="20"/>
        </w:rPr>
        <w:t>9.2.2</w:t>
      </w:r>
      <w:r w:rsidRPr="005B2A17">
        <w:rPr>
          <w:rFonts w:ascii="Verdana" w:hAnsi="Verdana"/>
          <w:sz w:val="20"/>
        </w:rPr>
        <w:t>    Antes de operar el Mercado del Día en Adelanto para un día de operación, el CENACE realizará una simulación del Sistema Eléctrico Nacional usando el modelo de Horizonte Extendido sin considerar importaciones o exportaciones, con el objetivo de detectar la presencia de demanda no suministrada o requisitos de reservas sin cumplir, o de la necesidad de violar los límites mínimos de operación de las centrales eléctricas. El CENACE publicará en el Sistema de Información del</w:t>
      </w:r>
    </w:p>
    <w:p w:rsidR="005B2A17" w:rsidRPr="005B2A17" w:rsidRDefault="005B2A17" w:rsidP="005B2A17">
      <w:pPr>
        <w:jc w:val="both"/>
        <w:rPr>
          <w:rFonts w:ascii="Verdana" w:hAnsi="Verdana"/>
          <w:sz w:val="20"/>
        </w:rPr>
      </w:pPr>
      <w:r w:rsidRPr="005B2A17">
        <w:rPr>
          <w:rFonts w:ascii="Verdana" w:hAnsi="Verdana"/>
          <w:sz w:val="20"/>
        </w:rPr>
        <w:t>Mercado los resultados del modelo de Horizonte Extendido señalando cualquier déficit o excedente, a fin de informar a los Participantes del Mercado sobre las necesidades del Sistema Eléctrico Nacional.</w:t>
      </w:r>
    </w:p>
    <w:p w:rsidR="005B2A17" w:rsidRPr="005B2A17" w:rsidRDefault="005B2A17" w:rsidP="005B2A17">
      <w:pPr>
        <w:jc w:val="both"/>
        <w:rPr>
          <w:rFonts w:ascii="Verdana" w:hAnsi="Verdana"/>
          <w:sz w:val="20"/>
        </w:rPr>
      </w:pPr>
      <w:r w:rsidRPr="005B2A17">
        <w:rPr>
          <w:rFonts w:ascii="Verdana" w:hAnsi="Verdana"/>
          <w:b/>
          <w:bCs/>
          <w:sz w:val="20"/>
        </w:rPr>
        <w:t>9.2.3</w:t>
      </w:r>
      <w:r w:rsidRPr="005B2A17">
        <w:rPr>
          <w:rFonts w:ascii="Verdana" w:hAnsi="Verdana"/>
          <w:sz w:val="20"/>
        </w:rPr>
        <w:t>   En caso de que las ofertas de importación recibidas de los Participantes de Mercado en el MDA resulten insuficientes para evitar la demanda no suministrada o requisitos de reservas sin cumplir para alguna hora, se considerará que la corrida inicial del MDA fue indicativa. El CENACE volverá a operar el MDA, programando una transacción de importación para asegurar la confiabilidad en los siguientes términos:</w:t>
      </w:r>
    </w:p>
    <w:p w:rsidR="005B2A17" w:rsidRPr="005B2A17" w:rsidRDefault="005B2A17" w:rsidP="005B2A17">
      <w:pPr>
        <w:jc w:val="both"/>
        <w:rPr>
          <w:rFonts w:ascii="Verdana" w:hAnsi="Verdana"/>
          <w:sz w:val="20"/>
        </w:rPr>
      </w:pPr>
      <w:r w:rsidRPr="005B2A17">
        <w:rPr>
          <w:rFonts w:ascii="Verdana" w:hAnsi="Verdana"/>
          <w:sz w:val="20"/>
        </w:rPr>
        <w:t>(a)  El CENACE presentará una oferta de venta en el Mercado del Día en Adelanto del Mercado Eléctrico Mayorista, por una cantidad en cada hora igual a la importación mínima necesaria para evitar la demanda no suministrada o requisitos de reservas sin cumplir, tomando en cuenta las ofertas recibidas de los Participantes del Mercado. El precio de la oferta de venta tendrá las siguientes características:</w:t>
      </w:r>
    </w:p>
    <w:p w:rsidR="005B2A17" w:rsidRPr="005B2A17" w:rsidRDefault="005B2A17" w:rsidP="005B2A17">
      <w:pPr>
        <w:jc w:val="both"/>
        <w:rPr>
          <w:rFonts w:ascii="Verdana" w:hAnsi="Verdana"/>
          <w:sz w:val="20"/>
        </w:rPr>
      </w:pPr>
      <w:r w:rsidRPr="005B2A17">
        <w:rPr>
          <w:rFonts w:ascii="Verdana" w:hAnsi="Verdana"/>
          <w:sz w:val="20"/>
        </w:rPr>
        <w:t>(i)   En caso de que por lo menos un Participante del Mercado haya presentado una oferta de importación en una hora dada, el precio de la oferta de venta del CENACE será igual a la oferta más alta recibida para dicha hora, menos un peso.</w:t>
      </w:r>
    </w:p>
    <w:p w:rsidR="005B2A17" w:rsidRPr="005B2A17" w:rsidRDefault="005B2A17" w:rsidP="005B2A17">
      <w:pPr>
        <w:jc w:val="both"/>
        <w:rPr>
          <w:rFonts w:ascii="Verdana" w:hAnsi="Verdana"/>
          <w:sz w:val="20"/>
        </w:rPr>
      </w:pPr>
      <w:r w:rsidRPr="005B2A17">
        <w:rPr>
          <w:rFonts w:ascii="Verdana" w:hAnsi="Verdana"/>
          <w:sz w:val="20"/>
        </w:rPr>
        <w:t xml:space="preserve">(ii)   En caso de que ningún Participante del Mercado haya presentado una oferta para importación en una hora dada, el precio de la oferta de venta para dicha hora </w:t>
      </w:r>
      <w:r w:rsidRPr="005B2A17">
        <w:rPr>
          <w:rFonts w:ascii="Verdana" w:hAnsi="Verdana"/>
          <w:sz w:val="20"/>
        </w:rPr>
        <w:lastRenderedPageBreak/>
        <w:t>será igual al precio que el CENACE pronostique como resultado de su compra en el Sistema Eléctrico Vecino en esa hora, más los costos asociados y más 500 pesos/</w:t>
      </w:r>
      <w:proofErr w:type="spellStart"/>
      <w:r w:rsidRPr="005B2A17">
        <w:rPr>
          <w:rFonts w:ascii="Verdana" w:hAnsi="Verdana"/>
          <w:sz w:val="20"/>
        </w:rPr>
        <w:t>MWh</w:t>
      </w:r>
      <w:proofErr w:type="spellEnd"/>
      <w:r w:rsidRPr="005B2A17">
        <w:rPr>
          <w:rFonts w:ascii="Verdana" w:hAnsi="Verdana"/>
          <w:sz w:val="20"/>
        </w:rPr>
        <w:t>.</w:t>
      </w:r>
    </w:p>
    <w:p w:rsidR="005B2A17" w:rsidRPr="005B2A17" w:rsidRDefault="005B2A17" w:rsidP="005B2A17">
      <w:pPr>
        <w:jc w:val="both"/>
        <w:rPr>
          <w:rFonts w:ascii="Verdana" w:hAnsi="Verdana"/>
          <w:sz w:val="20"/>
        </w:rPr>
      </w:pPr>
      <w:r w:rsidRPr="005B2A17">
        <w:rPr>
          <w:rFonts w:ascii="Verdana" w:hAnsi="Verdana"/>
          <w:sz w:val="20"/>
        </w:rPr>
        <w:t>(b)  El CENACE presentará una oferta de compra en el Sistema Eléctrico Vecino, en los siguientes términos:</w:t>
      </w:r>
    </w:p>
    <w:p w:rsidR="005B2A17" w:rsidRPr="005B2A17" w:rsidRDefault="005B2A17" w:rsidP="005B2A17">
      <w:pPr>
        <w:jc w:val="both"/>
        <w:rPr>
          <w:rFonts w:ascii="Verdana" w:hAnsi="Verdana"/>
          <w:sz w:val="20"/>
        </w:rPr>
      </w:pPr>
      <w:r w:rsidRPr="005B2A17">
        <w:rPr>
          <w:rFonts w:ascii="Verdana" w:hAnsi="Verdana"/>
          <w:sz w:val="20"/>
        </w:rPr>
        <w:t>(i)   El CENACE presentará una oferta de compra en el Mercado del Día en Adelanto del Sistema Eléctrico Vecino o su equivalente, para la misma cantidad de energía en cada hora que se calculó en el inciso a) anterior. El precio de la oferta de compra será lo suficientemente alto para conseguir la energía requerida.</w:t>
      </w:r>
    </w:p>
    <w:p w:rsidR="005B2A17" w:rsidRPr="005B2A17" w:rsidRDefault="005B2A17" w:rsidP="005B2A17">
      <w:pPr>
        <w:jc w:val="both"/>
        <w:rPr>
          <w:rFonts w:ascii="Verdana" w:hAnsi="Verdana"/>
          <w:sz w:val="20"/>
        </w:rPr>
      </w:pPr>
      <w:r w:rsidRPr="005B2A17">
        <w:rPr>
          <w:rFonts w:ascii="Verdana" w:hAnsi="Verdana"/>
          <w:sz w:val="20"/>
        </w:rPr>
        <w:t>(ii)   Si el CENACE presenta una oferta de compra en términos del inciso a. anterior sin obtener la cantidad deseada de energía, el CENACE presentará una oferta de compra en el Mercado de Tiempo Real del Sistema Eléctrico Vecino o su equivalente, por una cantidad igual a la cantidad de la oferta de compra del inciso i. anterior menos la cantidad de energía obtenida como consecuencia de dicha oferta. El precio de la oferta de compra será lo suficientemente alto para conseguir la energía requerida.</w:t>
      </w:r>
    </w:p>
    <w:p w:rsidR="005B2A17" w:rsidRPr="005B2A17" w:rsidRDefault="005B2A17" w:rsidP="005B2A17">
      <w:pPr>
        <w:jc w:val="both"/>
        <w:rPr>
          <w:rFonts w:ascii="Verdana" w:hAnsi="Verdana"/>
          <w:sz w:val="20"/>
        </w:rPr>
      </w:pPr>
      <w:r w:rsidRPr="005B2A17">
        <w:rPr>
          <w:rFonts w:ascii="Verdana" w:hAnsi="Verdana"/>
          <w:b/>
          <w:bCs/>
          <w:sz w:val="20"/>
        </w:rPr>
        <w:t>9.2.4</w:t>
      </w:r>
      <w:r w:rsidRPr="005B2A17">
        <w:rPr>
          <w:rFonts w:ascii="Verdana" w:hAnsi="Verdana"/>
          <w:sz w:val="20"/>
        </w:rPr>
        <w:t>   En caso de que las ofertas de exportación recibidas de los Participantes de Mercado en el MDA resulten insuficientes para evitar la necesidad de violar los límites mínimos de operación de las centrales eléctricas para alguna hora, se considerará que la corrida inicial del MDA fue indicativa. El CENACE volverá a operar el MDA, programando una transacción de exportación para asegurar confiabilidad en los siguientes términos:</w:t>
      </w:r>
    </w:p>
    <w:p w:rsidR="005B2A17" w:rsidRPr="005B2A17" w:rsidRDefault="005B2A17" w:rsidP="005B2A17">
      <w:pPr>
        <w:jc w:val="both"/>
        <w:rPr>
          <w:rFonts w:ascii="Verdana" w:hAnsi="Verdana"/>
          <w:sz w:val="20"/>
        </w:rPr>
      </w:pPr>
      <w:r w:rsidRPr="005B2A17">
        <w:rPr>
          <w:rFonts w:ascii="Verdana" w:hAnsi="Verdana"/>
          <w:sz w:val="20"/>
        </w:rPr>
        <w:t>(a)  El CENACE presentará una oferta de compra en el Mercado del Día en Adelanto del Mercado Eléctrico Mayorista por una cantidad en cada hora igual a la cantidad de exportación mínima necesaria para evitar la violación de límites mínimos de operación de las centrales eléctricas, tomando en cuenta las ofertas recibidas de los Participantes del Mercado. El precio de la oferta de compra tendrá las siguientes características:</w:t>
      </w:r>
    </w:p>
    <w:p w:rsidR="005B2A17" w:rsidRPr="005B2A17" w:rsidRDefault="005B2A17" w:rsidP="005B2A17">
      <w:pPr>
        <w:jc w:val="both"/>
        <w:rPr>
          <w:rFonts w:ascii="Verdana" w:hAnsi="Verdana"/>
          <w:sz w:val="20"/>
        </w:rPr>
      </w:pPr>
      <w:r w:rsidRPr="005B2A17">
        <w:rPr>
          <w:rFonts w:ascii="Verdana" w:hAnsi="Verdana"/>
          <w:sz w:val="20"/>
        </w:rPr>
        <w:t> </w:t>
      </w:r>
    </w:p>
    <w:p w:rsidR="005B2A17" w:rsidRPr="005B2A17" w:rsidRDefault="005B2A17" w:rsidP="005B2A17">
      <w:pPr>
        <w:jc w:val="both"/>
        <w:rPr>
          <w:rFonts w:ascii="Verdana" w:hAnsi="Verdana"/>
          <w:sz w:val="20"/>
        </w:rPr>
      </w:pPr>
      <w:r w:rsidRPr="005B2A17">
        <w:rPr>
          <w:rFonts w:ascii="Verdana" w:hAnsi="Verdana"/>
          <w:sz w:val="20"/>
        </w:rPr>
        <w:t>(i)   En caso de que por lo menos un Participante del Mercado haya presentado una oferta de exportación en una hora dada, el precio de la oferta de compra del CENACE será igual a la oferta más baja recibida para dicha hora, más un peso.</w:t>
      </w:r>
    </w:p>
    <w:p w:rsidR="005B2A17" w:rsidRPr="005B2A17" w:rsidRDefault="005B2A17" w:rsidP="005B2A17">
      <w:pPr>
        <w:jc w:val="both"/>
        <w:rPr>
          <w:rFonts w:ascii="Verdana" w:hAnsi="Verdana"/>
          <w:sz w:val="20"/>
        </w:rPr>
      </w:pPr>
      <w:r w:rsidRPr="005B2A17">
        <w:rPr>
          <w:rFonts w:ascii="Verdana" w:hAnsi="Verdana"/>
          <w:sz w:val="20"/>
        </w:rPr>
        <w:t>(ii)   En caso de que ningún Participante del Mercado haya presentado una oferta para exportación en una hora dada, el precio de la oferta de compra para dicha hora será igual al precio que el CENACE pronostique como resultado de su venta en el Sistema Eléctrico Vecino en esa hora, menos los costos asociados y menos 500 pesos/</w:t>
      </w:r>
      <w:proofErr w:type="spellStart"/>
      <w:r w:rsidRPr="005B2A17">
        <w:rPr>
          <w:rFonts w:ascii="Verdana" w:hAnsi="Verdana"/>
          <w:sz w:val="20"/>
        </w:rPr>
        <w:t>MWh</w:t>
      </w:r>
      <w:proofErr w:type="spellEnd"/>
      <w:r w:rsidRPr="005B2A17">
        <w:rPr>
          <w:rFonts w:ascii="Verdana" w:hAnsi="Verdana"/>
          <w:sz w:val="20"/>
        </w:rPr>
        <w:t>.</w:t>
      </w:r>
    </w:p>
    <w:p w:rsidR="005B2A17" w:rsidRPr="005B2A17" w:rsidRDefault="005B2A17" w:rsidP="005B2A17">
      <w:pPr>
        <w:jc w:val="both"/>
        <w:rPr>
          <w:rFonts w:ascii="Verdana" w:hAnsi="Verdana"/>
          <w:sz w:val="20"/>
        </w:rPr>
      </w:pPr>
      <w:r w:rsidRPr="005B2A17">
        <w:rPr>
          <w:rFonts w:ascii="Verdana" w:hAnsi="Verdana"/>
          <w:sz w:val="20"/>
        </w:rPr>
        <w:t>(b)  El CENACE presentará una oferta de venta en el Sistema Eléctrico Vecino, en los siguientes términos:</w:t>
      </w:r>
    </w:p>
    <w:p w:rsidR="005B2A17" w:rsidRPr="005B2A17" w:rsidRDefault="005B2A17" w:rsidP="005B2A17">
      <w:pPr>
        <w:jc w:val="both"/>
        <w:rPr>
          <w:rFonts w:ascii="Verdana" w:hAnsi="Verdana"/>
          <w:sz w:val="20"/>
        </w:rPr>
      </w:pPr>
      <w:r w:rsidRPr="005B2A17">
        <w:rPr>
          <w:rFonts w:ascii="Verdana" w:hAnsi="Verdana"/>
          <w:sz w:val="20"/>
        </w:rPr>
        <w:t xml:space="preserve">(i)   El CENACE presentará una oferta de venta en el Mercado del Día en Adelanto del Sistema Eléctrico Vecino o su equivalente, para la misma cantidad de energía en cada hora que se calculó en el inciso a) anterior. El precio de la oferta de venta será El </w:t>
      </w:r>
      <w:r w:rsidRPr="005B2A17">
        <w:rPr>
          <w:rFonts w:ascii="Verdana" w:hAnsi="Verdana"/>
          <w:sz w:val="20"/>
        </w:rPr>
        <w:lastRenderedPageBreak/>
        <w:t>precio de la oferta de venta será lo suficientemente bajo para enajenar la energía requerida.</w:t>
      </w:r>
    </w:p>
    <w:p w:rsidR="005B2A17" w:rsidRPr="005B2A17" w:rsidRDefault="005B2A17" w:rsidP="005B2A17">
      <w:pPr>
        <w:jc w:val="both"/>
        <w:rPr>
          <w:rFonts w:ascii="Verdana" w:hAnsi="Verdana"/>
          <w:sz w:val="20"/>
        </w:rPr>
      </w:pPr>
      <w:r w:rsidRPr="005B2A17">
        <w:rPr>
          <w:rFonts w:ascii="Verdana" w:hAnsi="Verdana"/>
          <w:sz w:val="20"/>
        </w:rPr>
        <w:t xml:space="preserve">(ii)   Si el CENACE presenta una oferta de venta en términos del inciso a. anterior sin vender la cantidad deseada de energía, el CENACE presentará una oferta de venta, en el Mercado de Tiempo Real del Sistema Eléctrico Vecino o su equivalente, por una cantidad igual a la cantidad de la oferta de venta del inciso i. anterior menos la cantidad de energía enajenada como consecuencia de dicha oferta. El precio de la oferta de venta será </w:t>
      </w:r>
      <w:proofErr w:type="spellStart"/>
      <w:r w:rsidRPr="005B2A17">
        <w:rPr>
          <w:rFonts w:ascii="Verdana" w:hAnsi="Verdana"/>
          <w:sz w:val="20"/>
        </w:rPr>
        <w:t>losuficientemente</w:t>
      </w:r>
      <w:proofErr w:type="spellEnd"/>
      <w:r w:rsidRPr="005B2A17">
        <w:rPr>
          <w:rFonts w:ascii="Verdana" w:hAnsi="Verdana"/>
          <w:sz w:val="20"/>
        </w:rPr>
        <w:t xml:space="preserve"> bajo para enajenar la energía requerida.</w:t>
      </w:r>
    </w:p>
    <w:p w:rsidR="005B2A17" w:rsidRPr="005B2A17" w:rsidRDefault="005B2A17" w:rsidP="005B2A17">
      <w:pPr>
        <w:jc w:val="both"/>
        <w:rPr>
          <w:rFonts w:ascii="Verdana" w:hAnsi="Verdana"/>
          <w:sz w:val="20"/>
        </w:rPr>
      </w:pPr>
      <w:r w:rsidRPr="005B2A17">
        <w:rPr>
          <w:rFonts w:ascii="Verdana" w:hAnsi="Verdana"/>
          <w:b/>
          <w:bCs/>
          <w:sz w:val="20"/>
        </w:rPr>
        <w:t>9.2.5</w:t>
      </w:r>
      <w:r w:rsidRPr="005B2A17">
        <w:rPr>
          <w:rFonts w:ascii="Verdana" w:hAnsi="Verdana"/>
          <w:sz w:val="20"/>
        </w:rPr>
        <w:t>   Lo estipulado en los numerales 1.1.3 y 1.1.4 tiene la intención de asegurar que el CENACE programe las importaciones o exportaciones necesarias para asegurar la confiabilidad del Sistema Eléctrico Nacional, a la vez que pretende evitar que las transacciones del CENACE desplacen a las transacciones programadas por Participantes de Mercado cuando éstos sean suficientes para asegurar la confiabilidad del Sistema Eléctrico Nacional. Por tanto, es imprescindible que las cantidades de importación o exportación por confiabilidad se calculen después de la recepción de ofertas de importación o exportación por los Participantes de Mercado en el MDA y el cálculo de los resultados preliminares del MDA. El CENACE sólo programará transacciones de importación o exportación por confiabilidad cuando las ofertas de los Participantes de Mercado resulten insuficientes para resolver el déficit o exceso de energía en cada hora.</w:t>
      </w:r>
    </w:p>
    <w:p w:rsidR="005B2A17" w:rsidRPr="005B2A17" w:rsidRDefault="005B2A17" w:rsidP="005B2A17">
      <w:pPr>
        <w:jc w:val="both"/>
        <w:rPr>
          <w:rFonts w:ascii="Verdana" w:hAnsi="Verdana"/>
          <w:sz w:val="20"/>
        </w:rPr>
      </w:pPr>
      <w:r w:rsidRPr="005B2A17">
        <w:rPr>
          <w:rFonts w:ascii="Verdana" w:hAnsi="Verdana"/>
          <w:b/>
          <w:bCs/>
          <w:sz w:val="20"/>
        </w:rPr>
        <w:t>9.2.6</w:t>
      </w:r>
      <w:r w:rsidRPr="005B2A17">
        <w:rPr>
          <w:rFonts w:ascii="Verdana" w:hAnsi="Verdana"/>
          <w:sz w:val="20"/>
        </w:rPr>
        <w:t xml:space="preserve">   En el Sistema Interconectado de Baja California, si la necesidad de violar los límites mínimos de operación de las Centrales Eléctricas no se pueda evitar a través de exportaciones, el CENACE instruirá la reducción de generación en las Centrales Eléctricas de tecnología </w:t>
      </w:r>
      <w:proofErr w:type="spellStart"/>
      <w:r w:rsidRPr="005B2A17">
        <w:rPr>
          <w:rFonts w:ascii="Verdana" w:hAnsi="Verdana"/>
          <w:sz w:val="20"/>
        </w:rPr>
        <w:t>geotermoeléctrica</w:t>
      </w:r>
      <w:proofErr w:type="spellEnd"/>
      <w:r w:rsidRPr="005B2A17">
        <w:rPr>
          <w:rFonts w:ascii="Verdana" w:hAnsi="Verdana"/>
          <w:sz w:val="20"/>
        </w:rPr>
        <w:t xml:space="preserve"> por debajo de sus límites mínimos de operación. El CENACE brindará capacitación y apoyo a los Generadores que representan a dichas Centrales Eléctricas para que éstas puedan programar transacciones de exportación y así evitar el </w:t>
      </w:r>
      <w:proofErr w:type="spellStart"/>
      <w:r w:rsidRPr="005B2A17">
        <w:rPr>
          <w:rFonts w:ascii="Verdana" w:hAnsi="Verdana"/>
          <w:sz w:val="20"/>
        </w:rPr>
        <w:t>redespacho</w:t>
      </w:r>
      <w:proofErr w:type="spellEnd"/>
      <w:r w:rsidRPr="005B2A17">
        <w:rPr>
          <w:rFonts w:ascii="Verdana" w:hAnsi="Verdana"/>
          <w:sz w:val="20"/>
        </w:rPr>
        <w:t xml:space="preserve"> de sus Centrales.</w:t>
      </w:r>
    </w:p>
    <w:p w:rsidR="005B2A17" w:rsidRPr="005B2A17" w:rsidRDefault="005B2A17" w:rsidP="005B2A17">
      <w:pPr>
        <w:jc w:val="both"/>
        <w:rPr>
          <w:rFonts w:ascii="Verdana" w:hAnsi="Verdana"/>
          <w:sz w:val="20"/>
        </w:rPr>
      </w:pPr>
      <w:r w:rsidRPr="005B2A17">
        <w:rPr>
          <w:rFonts w:ascii="Verdana" w:hAnsi="Verdana"/>
          <w:b/>
          <w:bCs/>
          <w:sz w:val="20"/>
        </w:rPr>
        <w:t>9.2.7</w:t>
      </w:r>
      <w:r w:rsidRPr="005B2A17">
        <w:rPr>
          <w:rFonts w:ascii="Verdana" w:hAnsi="Verdana"/>
          <w:sz w:val="20"/>
        </w:rPr>
        <w:t>   A fin de evitar que la programación de exportaciones resulte en energía no suministrada o el incumplimiento de los requisitos de reservas, el CENACE aplicará un precio tope a las ofertas de compra para exportación que sea cuando menos 100 pesos/</w:t>
      </w:r>
      <w:proofErr w:type="spellStart"/>
      <w:r w:rsidRPr="005B2A17">
        <w:rPr>
          <w:rFonts w:ascii="Verdana" w:hAnsi="Verdana"/>
          <w:sz w:val="20"/>
        </w:rPr>
        <w:t>MWh</w:t>
      </w:r>
      <w:proofErr w:type="spellEnd"/>
      <w:r w:rsidRPr="005B2A17">
        <w:rPr>
          <w:rFonts w:ascii="Verdana" w:hAnsi="Verdana"/>
          <w:sz w:val="20"/>
        </w:rPr>
        <w:t xml:space="preserve"> menor al mínimo de los valores que se utilicen en el modelo del Mercado del Día en Adelanto como valor de demanda no suministrada o como valor de reservas no suministradas.</w:t>
      </w:r>
    </w:p>
    <w:p w:rsidR="005B2A17" w:rsidRPr="005B2A17" w:rsidRDefault="005B2A17" w:rsidP="005B2A17">
      <w:pPr>
        <w:jc w:val="both"/>
        <w:rPr>
          <w:rFonts w:ascii="Verdana" w:hAnsi="Verdana"/>
          <w:sz w:val="20"/>
        </w:rPr>
      </w:pPr>
      <w:r w:rsidRPr="005B2A17">
        <w:rPr>
          <w:rFonts w:ascii="Verdana" w:hAnsi="Verdana"/>
          <w:sz w:val="20"/>
        </w:rPr>
        <w:t> </w:t>
      </w:r>
    </w:p>
    <w:p w:rsidR="005B2A17" w:rsidRPr="005B2A17" w:rsidRDefault="005B2A17" w:rsidP="005B2A17">
      <w:pPr>
        <w:jc w:val="both"/>
        <w:rPr>
          <w:rFonts w:ascii="Verdana" w:hAnsi="Verdana"/>
          <w:sz w:val="20"/>
        </w:rPr>
      </w:pPr>
      <w:r w:rsidRPr="005B2A17">
        <w:rPr>
          <w:rFonts w:ascii="Verdana" w:hAnsi="Verdana"/>
          <w:b/>
          <w:bCs/>
          <w:sz w:val="20"/>
        </w:rPr>
        <w:t>CAPÍTULO 10</w:t>
      </w:r>
    </w:p>
    <w:p w:rsidR="005B2A17" w:rsidRPr="005B2A17" w:rsidRDefault="005B2A17" w:rsidP="005B2A17">
      <w:pPr>
        <w:jc w:val="both"/>
        <w:rPr>
          <w:rFonts w:ascii="Verdana" w:hAnsi="Verdana"/>
          <w:sz w:val="20"/>
        </w:rPr>
      </w:pPr>
      <w:r w:rsidRPr="005B2A17">
        <w:rPr>
          <w:rFonts w:ascii="Verdana" w:hAnsi="Verdana"/>
          <w:b/>
          <w:bCs/>
          <w:sz w:val="20"/>
        </w:rPr>
        <w:t>Administración de la energía inadvertida</w:t>
      </w:r>
    </w:p>
    <w:p w:rsidR="005B2A17" w:rsidRPr="005B2A17" w:rsidRDefault="005B2A17" w:rsidP="005B2A17">
      <w:pPr>
        <w:jc w:val="both"/>
        <w:rPr>
          <w:rFonts w:ascii="Verdana" w:hAnsi="Verdana"/>
          <w:sz w:val="20"/>
        </w:rPr>
      </w:pPr>
      <w:r w:rsidRPr="005B2A17">
        <w:rPr>
          <w:rFonts w:ascii="Verdana" w:hAnsi="Verdana"/>
          <w:b/>
          <w:bCs/>
          <w:sz w:val="20"/>
        </w:rPr>
        <w:t>10.1.1</w:t>
      </w:r>
      <w:r w:rsidRPr="005B2A17">
        <w:rPr>
          <w:rFonts w:ascii="Verdana" w:hAnsi="Verdana"/>
          <w:sz w:val="20"/>
        </w:rPr>
        <w:t xml:space="preserve">  El CENACE registrará en forma horaria los valores netos de intercambio real del Sistema Eléctrico Nacional con los Sistemas Eléctricos Vecinos y conciliará diariamente estos valores con las entidades que operan los Sistemas Eléctricos </w:t>
      </w:r>
      <w:r w:rsidRPr="005B2A17">
        <w:rPr>
          <w:rFonts w:ascii="Verdana" w:hAnsi="Verdana"/>
          <w:sz w:val="20"/>
        </w:rPr>
        <w:lastRenderedPageBreak/>
        <w:t>Vecinos, de tal manera que se obtenga el desbalance entre los sistemas en el periodo correspondiente.</w:t>
      </w:r>
    </w:p>
    <w:p w:rsidR="005B2A17" w:rsidRPr="005B2A17" w:rsidRDefault="005B2A17" w:rsidP="005B2A17">
      <w:pPr>
        <w:jc w:val="both"/>
        <w:rPr>
          <w:rFonts w:ascii="Verdana" w:hAnsi="Verdana"/>
          <w:sz w:val="20"/>
        </w:rPr>
      </w:pPr>
      <w:r w:rsidRPr="005B2A17">
        <w:rPr>
          <w:rFonts w:ascii="Verdana" w:hAnsi="Verdana"/>
          <w:b/>
          <w:bCs/>
          <w:sz w:val="20"/>
        </w:rPr>
        <w:t>10.1.2</w:t>
      </w:r>
      <w:r w:rsidRPr="005B2A17">
        <w:rPr>
          <w:rFonts w:ascii="Verdana" w:hAnsi="Verdana"/>
          <w:sz w:val="20"/>
        </w:rPr>
        <w:t>  El CENACE podrá acordar con las entidades que operan los Sistemas Eléctricos Vecinos el pago del intercambio inadvertido acumulado dentro del periodo acordado, ya sea en especie o en efectivo conforme a lo establecido en los convenios correspondientes.</w:t>
      </w:r>
    </w:p>
    <w:p w:rsidR="005B2A17" w:rsidRPr="005B2A17" w:rsidRDefault="005B2A17" w:rsidP="005B2A17">
      <w:pPr>
        <w:jc w:val="both"/>
        <w:rPr>
          <w:rFonts w:ascii="Verdana" w:hAnsi="Verdana"/>
          <w:sz w:val="20"/>
        </w:rPr>
      </w:pPr>
      <w:r w:rsidRPr="005B2A17">
        <w:rPr>
          <w:rFonts w:ascii="Verdana" w:hAnsi="Verdana"/>
          <w:b/>
          <w:bCs/>
          <w:sz w:val="20"/>
        </w:rPr>
        <w:t>10.1.3</w:t>
      </w:r>
      <w:r w:rsidRPr="005B2A17">
        <w:rPr>
          <w:rFonts w:ascii="Verdana" w:hAnsi="Verdana"/>
          <w:sz w:val="20"/>
        </w:rPr>
        <w:t>  La compensación en especie del intercambio inadvertido acumulado será programada mediante importaciones o exportaciones de energía, según corresponda. Dichas transacciones, cuando se programan con anterioridad al Mercado del Día en Adelanto, reducirán la Capacidad Absoluta de Transferencia Disponible para transacciones del Mercado Eléctrico Mayorista y de los Contratos de Interconexión Legados. Solamente se programarán dichas transacciones en el Mercado de Tiempo Real cuando exista Capacidad Absoluta de Transferencia Disponible que no se haya utilizado en el Mercado Eléctrico Mayorista o por Contratos de Interconexión Legados.</w:t>
      </w:r>
    </w:p>
    <w:p w:rsidR="005B2A17" w:rsidRPr="005B2A17" w:rsidRDefault="005B2A17" w:rsidP="005B2A17">
      <w:pPr>
        <w:jc w:val="both"/>
        <w:rPr>
          <w:rFonts w:ascii="Verdana" w:hAnsi="Verdana"/>
          <w:sz w:val="20"/>
        </w:rPr>
      </w:pPr>
      <w:r w:rsidRPr="005B2A17">
        <w:rPr>
          <w:rFonts w:ascii="Verdana" w:hAnsi="Verdana"/>
          <w:b/>
          <w:bCs/>
          <w:sz w:val="20"/>
        </w:rPr>
        <w:t>10.1.4</w:t>
      </w:r>
      <w:r w:rsidRPr="005B2A17">
        <w:rPr>
          <w:rFonts w:ascii="Verdana" w:hAnsi="Verdana"/>
          <w:sz w:val="20"/>
        </w:rPr>
        <w:t>  Asimismo, ante un acuerdo liquidable en especie, el CENACE registrará tanto la cantidad programada, el Precio Marginal Local horario correspondiente al nodo y al mercado en el cual se haya realizado la programación y el periodo (Fecha de Inicio-Fecha de Fin) dentro del cual surgió el desbalance. Esta información será la base para la liquidación efectuándose de acuerdo con el método descrito en el Manual de Liquidaciones.</w:t>
      </w:r>
    </w:p>
    <w:p w:rsidR="005B2A17" w:rsidRPr="005B2A17" w:rsidRDefault="005B2A17" w:rsidP="005B2A17">
      <w:pPr>
        <w:jc w:val="both"/>
        <w:rPr>
          <w:rFonts w:ascii="Verdana" w:hAnsi="Verdana"/>
          <w:sz w:val="20"/>
        </w:rPr>
      </w:pPr>
      <w:r w:rsidRPr="005B2A17">
        <w:rPr>
          <w:rFonts w:ascii="Verdana" w:hAnsi="Verdana"/>
          <w:b/>
          <w:bCs/>
          <w:sz w:val="20"/>
        </w:rPr>
        <w:t>10.1.5</w:t>
      </w:r>
      <w:r w:rsidRPr="005B2A17">
        <w:rPr>
          <w:rFonts w:ascii="Verdana" w:hAnsi="Verdana"/>
          <w:sz w:val="20"/>
        </w:rPr>
        <w:t>  Cuando la compensación del intercambio inadvertido con el Sistema Eléctrico Vecino se acuerde en efectivo, el CENACE registrará el periodo correspondiente para el que se está compensando el desbalance (Fecha de Inicio-Fecha de Fin), los precios y la cantidad de energía a compensar. Esta información será la base para la liquidación, efectuándose de acuerdo con el método descrito en el Manual de Liquidaciones.</w:t>
      </w:r>
    </w:p>
    <w:p w:rsidR="005B2A17" w:rsidRPr="005B2A17" w:rsidRDefault="005B2A17" w:rsidP="005B2A17">
      <w:pPr>
        <w:jc w:val="both"/>
        <w:rPr>
          <w:rFonts w:ascii="Verdana" w:hAnsi="Verdana"/>
          <w:sz w:val="20"/>
        </w:rPr>
      </w:pPr>
      <w:r w:rsidRPr="005B2A17">
        <w:rPr>
          <w:rFonts w:ascii="Verdana" w:hAnsi="Verdana"/>
          <w:b/>
          <w:bCs/>
          <w:sz w:val="20"/>
        </w:rPr>
        <w:t>10.1.6</w:t>
      </w:r>
      <w:r w:rsidRPr="005B2A17">
        <w:rPr>
          <w:rFonts w:ascii="Verdana" w:hAnsi="Verdana"/>
          <w:sz w:val="20"/>
        </w:rPr>
        <w:t>  El área responsable en el CENACE de llevar a cabo las operaciones cambiarias, deberá registrar el o los tipos de cambio específicos a los que se llevaron a cabo las operaciones cambiarias. Con el objeto de hacer expedita la liquidación de los folios, podrá registrar información preliminar. Para estos efectos empleará un tipo de cambio de referencia, de acuerdo con la información publicada por el Banco de México o en su defecto encontrada en otros sistemas de información como </w:t>
      </w:r>
      <w:proofErr w:type="spellStart"/>
      <w:r w:rsidRPr="005B2A17">
        <w:rPr>
          <w:rFonts w:ascii="Verdana" w:hAnsi="Verdana"/>
          <w:sz w:val="20"/>
        </w:rPr>
        <w:t>Bloomberg</w:t>
      </w:r>
      <w:proofErr w:type="spellEnd"/>
      <w:r w:rsidRPr="005B2A17">
        <w:rPr>
          <w:rFonts w:ascii="Verdana" w:hAnsi="Verdana"/>
          <w:sz w:val="20"/>
        </w:rPr>
        <w:t xml:space="preserve"> o Reuters de acuerdo con lo establecido en las guías operativas empleadas para tal efecto. Con la información de la compra/venta específica dichos folios podrán liquidarse en la siguiente fecha de reliquidación.</w:t>
      </w:r>
    </w:p>
    <w:p w:rsidR="005B2A17" w:rsidRPr="005B2A17" w:rsidRDefault="005B2A17" w:rsidP="005B2A17">
      <w:pPr>
        <w:jc w:val="both"/>
        <w:rPr>
          <w:rFonts w:ascii="Verdana" w:hAnsi="Verdana"/>
          <w:sz w:val="20"/>
        </w:rPr>
      </w:pPr>
      <w:r w:rsidRPr="005B2A17">
        <w:rPr>
          <w:rFonts w:ascii="Verdana" w:hAnsi="Verdana"/>
          <w:b/>
          <w:bCs/>
          <w:sz w:val="20"/>
        </w:rPr>
        <w:t>10.1.7</w:t>
      </w:r>
      <w:r w:rsidRPr="005B2A17">
        <w:rPr>
          <w:rFonts w:ascii="Verdana" w:hAnsi="Verdana"/>
          <w:sz w:val="20"/>
        </w:rPr>
        <w:t>  El CENACE estimará el costo o ingreso derivado de la creación de intercambio inadvertido, a partir de los Precios Marginales Locales en el Mercado de Tiempo Real al momento de generar el balance de intercambio inadvertido.</w:t>
      </w:r>
    </w:p>
    <w:p w:rsidR="005B2A17" w:rsidRPr="005B2A17" w:rsidRDefault="005B2A17" w:rsidP="005B2A17">
      <w:pPr>
        <w:jc w:val="both"/>
        <w:rPr>
          <w:rFonts w:ascii="Verdana" w:hAnsi="Verdana"/>
          <w:sz w:val="20"/>
        </w:rPr>
      </w:pPr>
      <w:r w:rsidRPr="005B2A17">
        <w:rPr>
          <w:rFonts w:ascii="Verdana" w:hAnsi="Verdana"/>
          <w:b/>
          <w:bCs/>
          <w:sz w:val="20"/>
        </w:rPr>
        <w:t>10.1.8</w:t>
      </w:r>
      <w:r w:rsidRPr="005B2A17">
        <w:rPr>
          <w:rFonts w:ascii="Verdana" w:hAnsi="Verdana"/>
          <w:sz w:val="20"/>
        </w:rPr>
        <w:t xml:space="preserve">  Los costos incurridos a favor o en contra del CENACE, derivados de la creación, el cobro o el pago de intercambio inadvertido en especie y en efectivo, se </w:t>
      </w:r>
      <w:r w:rsidRPr="005B2A17">
        <w:rPr>
          <w:rFonts w:ascii="Verdana" w:hAnsi="Verdana"/>
          <w:sz w:val="20"/>
        </w:rPr>
        <w:lastRenderedPageBreak/>
        <w:t>distribuirán entre los Participantes del Mercado conforme a lo establecido en el Manual de Liquidaciones.</w:t>
      </w:r>
    </w:p>
    <w:p w:rsidR="005B2A17" w:rsidRPr="005B2A17" w:rsidRDefault="005B2A17" w:rsidP="005B2A17">
      <w:pPr>
        <w:jc w:val="both"/>
        <w:rPr>
          <w:rFonts w:ascii="Verdana" w:hAnsi="Verdana"/>
          <w:sz w:val="20"/>
        </w:rPr>
      </w:pPr>
      <w:r w:rsidRPr="005B2A17">
        <w:rPr>
          <w:rFonts w:ascii="Verdana" w:hAnsi="Verdana"/>
          <w:b/>
          <w:bCs/>
          <w:sz w:val="20"/>
        </w:rPr>
        <w:t>10.1.9</w:t>
      </w:r>
      <w:r w:rsidRPr="005B2A17">
        <w:rPr>
          <w:rFonts w:ascii="Verdana" w:hAnsi="Verdana"/>
          <w:sz w:val="20"/>
        </w:rPr>
        <w:t>  En caso de que existan otros rubros de cobro o pago que se deriven del intercambio inadvertido con los Sistemas Eléctricos Vecinos, se integrarán al Precio con el que se distribuya el desbalance entre los Participantes del Mercado en las siguientes Reliquidaciones.</w:t>
      </w:r>
    </w:p>
    <w:p w:rsidR="005B2A17" w:rsidRPr="005B2A17" w:rsidRDefault="005B2A17" w:rsidP="005B2A17">
      <w:pPr>
        <w:jc w:val="both"/>
        <w:rPr>
          <w:rFonts w:ascii="Verdana" w:hAnsi="Verdana"/>
          <w:sz w:val="20"/>
        </w:rPr>
      </w:pPr>
      <w:r w:rsidRPr="005B2A17">
        <w:rPr>
          <w:rFonts w:ascii="Verdana" w:hAnsi="Verdana"/>
          <w:sz w:val="20"/>
        </w:rPr>
        <w:t> </w:t>
      </w:r>
    </w:p>
    <w:p w:rsidR="005B2A17" w:rsidRPr="005B2A17" w:rsidRDefault="005B2A17" w:rsidP="005B2A17">
      <w:pPr>
        <w:jc w:val="both"/>
        <w:rPr>
          <w:rFonts w:ascii="Verdana" w:hAnsi="Verdana"/>
          <w:sz w:val="20"/>
        </w:rPr>
      </w:pPr>
      <w:r w:rsidRPr="005B2A17">
        <w:rPr>
          <w:rFonts w:ascii="Verdana" w:hAnsi="Verdana"/>
          <w:b/>
          <w:bCs/>
          <w:sz w:val="20"/>
        </w:rPr>
        <w:t>CAPÍTULO 11</w:t>
      </w:r>
    </w:p>
    <w:p w:rsidR="005B2A17" w:rsidRPr="005B2A17" w:rsidRDefault="005B2A17" w:rsidP="005B2A17">
      <w:pPr>
        <w:jc w:val="both"/>
        <w:rPr>
          <w:rFonts w:ascii="Verdana" w:hAnsi="Verdana"/>
          <w:sz w:val="20"/>
        </w:rPr>
      </w:pPr>
      <w:r w:rsidRPr="005B2A17">
        <w:rPr>
          <w:rFonts w:ascii="Verdana" w:hAnsi="Verdana"/>
          <w:b/>
          <w:bCs/>
          <w:sz w:val="20"/>
        </w:rPr>
        <w:t>Liquidaciones</w:t>
      </w:r>
    </w:p>
    <w:p w:rsidR="005B2A17" w:rsidRPr="005B2A17" w:rsidRDefault="005B2A17" w:rsidP="005B2A17">
      <w:pPr>
        <w:jc w:val="both"/>
        <w:rPr>
          <w:rFonts w:ascii="Verdana" w:hAnsi="Verdana"/>
          <w:sz w:val="20"/>
        </w:rPr>
      </w:pPr>
      <w:r w:rsidRPr="005B2A17">
        <w:rPr>
          <w:rFonts w:ascii="Verdana" w:hAnsi="Verdana"/>
          <w:b/>
          <w:bCs/>
          <w:sz w:val="20"/>
        </w:rPr>
        <w:t>11.1.1</w:t>
      </w:r>
      <w:r w:rsidRPr="005B2A17">
        <w:rPr>
          <w:rFonts w:ascii="Verdana" w:hAnsi="Verdana"/>
          <w:sz w:val="20"/>
        </w:rPr>
        <w:t>  El CENACE realizará las liquidaciones de las importaciones y exportaciones que realicen los Participantes del Mercado de acuerdo con lo siguiente:</w:t>
      </w:r>
    </w:p>
    <w:p w:rsidR="005B2A17" w:rsidRPr="005B2A17" w:rsidRDefault="005B2A17" w:rsidP="005B2A17">
      <w:pPr>
        <w:jc w:val="both"/>
        <w:rPr>
          <w:rFonts w:ascii="Verdana" w:hAnsi="Verdana"/>
          <w:sz w:val="20"/>
        </w:rPr>
      </w:pPr>
      <w:r w:rsidRPr="005B2A17">
        <w:rPr>
          <w:rFonts w:ascii="Verdana" w:hAnsi="Verdana"/>
          <w:sz w:val="20"/>
        </w:rPr>
        <w:t>a)   Si el programa de importación o exportación corresponde a las cantidades asignadas en el MDA, se liquidarán como importaciones y exportaciones comerciales en el MDA de acuerdo con lo establecido en el Manual de Liquidaciones.</w:t>
      </w:r>
    </w:p>
    <w:p w:rsidR="005B2A17" w:rsidRPr="005B2A17" w:rsidRDefault="005B2A17" w:rsidP="005B2A17">
      <w:pPr>
        <w:jc w:val="both"/>
        <w:rPr>
          <w:rFonts w:ascii="Verdana" w:hAnsi="Verdana"/>
          <w:sz w:val="20"/>
        </w:rPr>
      </w:pPr>
      <w:r w:rsidRPr="005B2A17">
        <w:rPr>
          <w:rFonts w:ascii="Verdana" w:hAnsi="Verdana"/>
          <w:sz w:val="20"/>
        </w:rPr>
        <w:t>b)    Si el programa de importación o exportación programado en el MDA no sufre modificaciones éste no generará liquidaciones en el MTR.</w:t>
      </w:r>
    </w:p>
    <w:p w:rsidR="005B2A17" w:rsidRPr="005B2A17" w:rsidRDefault="005B2A17" w:rsidP="005B2A17">
      <w:pPr>
        <w:jc w:val="both"/>
        <w:rPr>
          <w:rFonts w:ascii="Verdana" w:hAnsi="Verdana"/>
          <w:sz w:val="20"/>
        </w:rPr>
      </w:pPr>
      <w:r w:rsidRPr="005B2A17">
        <w:rPr>
          <w:rFonts w:ascii="Verdana" w:hAnsi="Verdana"/>
          <w:sz w:val="20"/>
        </w:rPr>
        <w:t>c)   Si el programa final de importación o exportación es menor a la cantidad asignada en el MDA, la diferencia se liquidará como intercambio programado en el MTR de acuerdo con lo establecido en el Manual de Liquidaciones.</w:t>
      </w:r>
    </w:p>
    <w:p w:rsidR="005B2A17" w:rsidRPr="005B2A17" w:rsidRDefault="005B2A17" w:rsidP="005B2A17">
      <w:pPr>
        <w:jc w:val="both"/>
        <w:rPr>
          <w:rFonts w:ascii="Verdana" w:hAnsi="Verdana"/>
          <w:sz w:val="20"/>
        </w:rPr>
      </w:pPr>
      <w:r w:rsidRPr="005B2A17">
        <w:rPr>
          <w:rFonts w:ascii="Verdana" w:hAnsi="Verdana"/>
          <w:sz w:val="20"/>
        </w:rPr>
        <w:t>d)   Los únicos cambios permitidos a los programas asignados en el MDA serán reducciones de cantidad. Los participantes de mercado no podrán aumentar programas de importación o exportación, o crear nuevos programas de importación o exportación, después de la asignación de programas en el MDA.</w:t>
      </w:r>
    </w:p>
    <w:p w:rsidR="005B2A17" w:rsidRPr="005B2A17" w:rsidRDefault="005B2A17" w:rsidP="005B2A17">
      <w:pPr>
        <w:jc w:val="both"/>
        <w:rPr>
          <w:rFonts w:ascii="Verdana" w:hAnsi="Verdana"/>
          <w:sz w:val="20"/>
        </w:rPr>
      </w:pPr>
      <w:r w:rsidRPr="005B2A17">
        <w:rPr>
          <w:rFonts w:ascii="Verdana" w:hAnsi="Verdana"/>
          <w:b/>
          <w:bCs/>
          <w:sz w:val="20"/>
        </w:rPr>
        <w:t>CAPÍTULO 12 Disposiciones Transitorias</w:t>
      </w:r>
    </w:p>
    <w:p w:rsidR="005B2A17" w:rsidRPr="005B2A17" w:rsidRDefault="005B2A17" w:rsidP="005B2A17">
      <w:pPr>
        <w:jc w:val="both"/>
        <w:rPr>
          <w:rFonts w:ascii="Verdana" w:hAnsi="Verdana"/>
          <w:sz w:val="20"/>
        </w:rPr>
      </w:pPr>
      <w:r w:rsidRPr="005B2A17">
        <w:rPr>
          <w:rFonts w:ascii="Verdana" w:hAnsi="Verdana"/>
          <w:b/>
          <w:bCs/>
          <w:sz w:val="20"/>
        </w:rPr>
        <w:t>12.1</w:t>
      </w:r>
      <w:r w:rsidRPr="005B2A17">
        <w:rPr>
          <w:rFonts w:ascii="Verdana" w:hAnsi="Verdana"/>
          <w:sz w:val="20"/>
        </w:rPr>
        <w:t>    </w:t>
      </w:r>
      <w:r w:rsidRPr="005B2A17">
        <w:rPr>
          <w:rFonts w:ascii="Verdana" w:hAnsi="Verdana"/>
          <w:b/>
          <w:bCs/>
          <w:sz w:val="20"/>
        </w:rPr>
        <w:t>Disposiciones transitorias</w:t>
      </w:r>
    </w:p>
    <w:p w:rsidR="005B2A17" w:rsidRPr="005B2A17" w:rsidRDefault="005B2A17" w:rsidP="005B2A17">
      <w:pPr>
        <w:jc w:val="both"/>
        <w:rPr>
          <w:rFonts w:ascii="Verdana" w:hAnsi="Verdana"/>
          <w:sz w:val="20"/>
        </w:rPr>
      </w:pPr>
      <w:r w:rsidRPr="005B2A17">
        <w:rPr>
          <w:rFonts w:ascii="Verdana" w:hAnsi="Verdana"/>
          <w:b/>
          <w:bCs/>
          <w:sz w:val="20"/>
        </w:rPr>
        <w:t>12.1.1</w:t>
      </w:r>
      <w:r w:rsidRPr="005B2A17">
        <w:rPr>
          <w:rFonts w:ascii="Verdana" w:hAnsi="Verdana"/>
          <w:sz w:val="20"/>
        </w:rPr>
        <w:t>  El Software de Programación Física se implementará 240 días naturales después de la publicación del Manual en el Diario Oficial de la Federación. Durante este tiempo las operaciones de las transacciones de energía se registrarán de acuerdo con el Procedimiento que establezca el CENACE. Dicho procedimiento se publicará en el SIM.</w:t>
      </w:r>
    </w:p>
    <w:p w:rsidR="005B2A17" w:rsidRPr="005B2A17" w:rsidRDefault="005B2A17" w:rsidP="005B2A17">
      <w:pPr>
        <w:jc w:val="both"/>
        <w:rPr>
          <w:rFonts w:ascii="Verdana" w:hAnsi="Verdana"/>
          <w:sz w:val="20"/>
        </w:rPr>
      </w:pPr>
      <w:r w:rsidRPr="005B2A17">
        <w:rPr>
          <w:rFonts w:ascii="Verdana" w:hAnsi="Verdana"/>
          <w:b/>
          <w:bCs/>
          <w:sz w:val="20"/>
        </w:rPr>
        <w:t>12.1.2</w:t>
      </w:r>
      <w:r w:rsidRPr="005B2A17">
        <w:rPr>
          <w:rFonts w:ascii="Verdana" w:hAnsi="Verdana"/>
          <w:sz w:val="20"/>
        </w:rPr>
        <w:t>  Durante los primeros 90 días naturales después de la publicación del Manual en el Diario Oficial de la Federación, las ofertas de importación de energía utilizarán los formatos de ofertas de venta de energía de Unidades de Central Eléctrica, y las ofertas de exportación de energía utilizarán los formatos de compra de energía de Centros de Carga. Para las ofertas de importación y exportación del Generador de Intermediación, en este periodo se utilizará el formato para los programas de generación y consumo de Contratos de Interconexión Legados.</w:t>
      </w:r>
    </w:p>
    <w:p w:rsidR="005B2A17" w:rsidRPr="005B2A17" w:rsidRDefault="005B2A17" w:rsidP="005B2A17">
      <w:pPr>
        <w:jc w:val="both"/>
        <w:rPr>
          <w:rFonts w:ascii="Verdana" w:hAnsi="Verdana"/>
          <w:sz w:val="20"/>
        </w:rPr>
      </w:pPr>
      <w:r w:rsidRPr="005B2A17">
        <w:rPr>
          <w:rFonts w:ascii="Verdana" w:hAnsi="Verdana"/>
          <w:b/>
          <w:bCs/>
          <w:sz w:val="20"/>
        </w:rPr>
        <w:lastRenderedPageBreak/>
        <w:t>12.1.3</w:t>
      </w:r>
      <w:r w:rsidRPr="005B2A17">
        <w:rPr>
          <w:rFonts w:ascii="Verdana" w:hAnsi="Verdana"/>
          <w:sz w:val="20"/>
        </w:rPr>
        <w:t>  CENACE implementará los criterios establecidos en el numeral 5.1.4 de este Manual, a partir del Mercado del Día en Adelanto que se opera 7 días naturales después de la publicación del Manual en el Diario Oficial de la Federación. De tal forma, dichos criterios se aplicarán a partir del día operativo que ocurre 8 días naturales después de la publicación del Manual. Hasta tal fecha, el CENACE aplicará los criterios descritos como "aplicación inicial" en el Anexo 7.</w:t>
      </w:r>
    </w:p>
    <w:p w:rsidR="005B2A17" w:rsidRPr="005B2A17" w:rsidRDefault="005B2A17" w:rsidP="005B2A17">
      <w:pPr>
        <w:jc w:val="both"/>
        <w:rPr>
          <w:rFonts w:ascii="Verdana" w:hAnsi="Verdana"/>
          <w:sz w:val="20"/>
        </w:rPr>
      </w:pPr>
      <w:r w:rsidRPr="005B2A17">
        <w:rPr>
          <w:rFonts w:ascii="Verdana" w:hAnsi="Verdana"/>
          <w:b/>
          <w:bCs/>
          <w:sz w:val="20"/>
        </w:rPr>
        <w:t>12.1.4</w:t>
      </w:r>
      <w:r w:rsidRPr="005B2A17">
        <w:rPr>
          <w:rFonts w:ascii="Verdana" w:hAnsi="Verdana"/>
          <w:sz w:val="20"/>
        </w:rPr>
        <w:t>  El CENACE implementará los criterios establecidos en el numeral 6.10 de este Manual, a partir del Mercado del Día en Adelanto que se opera 90 días naturales después de la publicación del Manual en el Diario Oficial de la Federación. De tal forma, dichos criterios se aplicarán a partir del día operativo que ocurre 91 días naturales después de la publicación del Manual.</w:t>
      </w:r>
    </w:p>
    <w:p w:rsidR="005B2A17" w:rsidRPr="005B2A17" w:rsidRDefault="005B2A17" w:rsidP="005B2A17">
      <w:pPr>
        <w:jc w:val="both"/>
        <w:rPr>
          <w:rFonts w:ascii="Verdana" w:hAnsi="Verdana"/>
          <w:sz w:val="20"/>
        </w:rPr>
      </w:pPr>
      <w:r w:rsidRPr="005B2A17">
        <w:rPr>
          <w:rFonts w:ascii="Verdana" w:hAnsi="Verdana"/>
          <w:sz w:val="20"/>
        </w:rPr>
        <w:t> </w:t>
      </w:r>
    </w:p>
    <w:p w:rsidR="005B2A17" w:rsidRPr="005B2A17" w:rsidRDefault="005B2A17" w:rsidP="005B2A17">
      <w:pPr>
        <w:jc w:val="both"/>
        <w:rPr>
          <w:rFonts w:ascii="Verdana" w:hAnsi="Verdana"/>
          <w:sz w:val="20"/>
        </w:rPr>
      </w:pPr>
      <w:r w:rsidRPr="005B2A17">
        <w:rPr>
          <w:rFonts w:ascii="Verdana" w:hAnsi="Verdana"/>
          <w:sz w:val="20"/>
        </w:rPr>
        <w:lastRenderedPageBreak/>
        <w:drawing>
          <wp:inline distT="0" distB="0" distL="0" distR="0">
            <wp:extent cx="5608955" cy="8455025"/>
            <wp:effectExtent l="0" t="0" r="0" b="3175"/>
            <wp:docPr id="20" name="Imagen 20" descr="http://www.dof.gob.mx/imagenes_diarios/2017/12/11/MAT/sener11_Cimg_271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dof.gob.mx/imagenes_diarios/2017/12/11/MAT/sener11_Cimg_27104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8955" cy="8455025"/>
                    </a:xfrm>
                    <a:prstGeom prst="rect">
                      <a:avLst/>
                    </a:prstGeom>
                    <a:noFill/>
                    <a:ln>
                      <a:noFill/>
                    </a:ln>
                  </pic:spPr>
                </pic:pic>
              </a:graphicData>
            </a:graphic>
          </wp:inline>
        </w:drawing>
      </w:r>
    </w:p>
    <w:p w:rsidR="005B2A17" w:rsidRPr="005B2A17" w:rsidRDefault="005B2A17" w:rsidP="005B2A17">
      <w:pPr>
        <w:jc w:val="both"/>
        <w:rPr>
          <w:rFonts w:ascii="Verdana" w:hAnsi="Verdana"/>
          <w:sz w:val="20"/>
        </w:rPr>
      </w:pPr>
      <w:r w:rsidRPr="005B2A17">
        <w:rPr>
          <w:rFonts w:ascii="Verdana" w:hAnsi="Verdana"/>
          <w:sz w:val="20"/>
        </w:rPr>
        <w:lastRenderedPageBreak/>
        <w:t> </w:t>
      </w:r>
    </w:p>
    <w:p w:rsidR="005B2A17" w:rsidRPr="005B2A17" w:rsidRDefault="005B2A17" w:rsidP="005B2A17">
      <w:pPr>
        <w:jc w:val="both"/>
        <w:rPr>
          <w:rFonts w:ascii="Verdana" w:hAnsi="Verdana"/>
          <w:sz w:val="20"/>
        </w:rPr>
      </w:pPr>
      <w:r w:rsidRPr="005B2A17">
        <w:rPr>
          <w:rFonts w:ascii="Verdana" w:hAnsi="Verdana"/>
          <w:sz w:val="20"/>
        </w:rPr>
        <w:lastRenderedPageBreak/>
        <w:drawing>
          <wp:inline distT="0" distB="0" distL="0" distR="0">
            <wp:extent cx="5506720" cy="8495665"/>
            <wp:effectExtent l="0" t="0" r="0" b="635"/>
            <wp:docPr id="19" name="Imagen 19" descr="http://www.dof.gob.mx/imagenes_diarios/2017/12/11/MAT/sener11_Cimg_442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dof.gob.mx/imagenes_diarios/2017/12/11/MAT/sener11_Cimg_44252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6720" cy="8495665"/>
                    </a:xfrm>
                    <a:prstGeom prst="rect">
                      <a:avLst/>
                    </a:prstGeom>
                    <a:noFill/>
                    <a:ln>
                      <a:noFill/>
                    </a:ln>
                  </pic:spPr>
                </pic:pic>
              </a:graphicData>
            </a:graphic>
          </wp:inline>
        </w:drawing>
      </w:r>
    </w:p>
    <w:p w:rsidR="005B2A17" w:rsidRPr="005B2A17" w:rsidRDefault="005B2A17" w:rsidP="005B2A17">
      <w:pPr>
        <w:jc w:val="both"/>
        <w:rPr>
          <w:rFonts w:ascii="Verdana" w:hAnsi="Verdana"/>
          <w:sz w:val="20"/>
        </w:rPr>
      </w:pPr>
      <w:r w:rsidRPr="005B2A17">
        <w:rPr>
          <w:rFonts w:ascii="Verdana" w:hAnsi="Verdana"/>
          <w:sz w:val="20"/>
        </w:rPr>
        <w:lastRenderedPageBreak/>
        <w:drawing>
          <wp:inline distT="0" distB="0" distL="0" distR="0">
            <wp:extent cx="5622925" cy="6701155"/>
            <wp:effectExtent l="0" t="0" r="0" b="4445"/>
            <wp:docPr id="18" name="Imagen 18" descr="http://www.dof.gob.mx/imagenes_diarios/2017/12/11/MAT/sener11_Cimg_734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www.dof.gob.mx/imagenes_diarios/2017/12/11/MAT/sener11_Cimg_73451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2925" cy="6701155"/>
                    </a:xfrm>
                    <a:prstGeom prst="rect">
                      <a:avLst/>
                    </a:prstGeom>
                    <a:noFill/>
                    <a:ln>
                      <a:noFill/>
                    </a:ln>
                  </pic:spPr>
                </pic:pic>
              </a:graphicData>
            </a:graphic>
          </wp:inline>
        </w:drawing>
      </w:r>
    </w:p>
    <w:p w:rsidR="005B2A17" w:rsidRPr="005B2A17" w:rsidRDefault="005B2A17" w:rsidP="005B2A17">
      <w:pPr>
        <w:jc w:val="both"/>
        <w:rPr>
          <w:rFonts w:ascii="Verdana" w:hAnsi="Verdana"/>
          <w:sz w:val="20"/>
        </w:rPr>
      </w:pPr>
      <w:r w:rsidRPr="005B2A17">
        <w:rPr>
          <w:rFonts w:ascii="Verdana" w:hAnsi="Verdana"/>
          <w:sz w:val="20"/>
        </w:rPr>
        <w:t> </w:t>
      </w:r>
    </w:p>
    <w:p w:rsidR="005B2A17" w:rsidRPr="005B2A17" w:rsidRDefault="005B2A17" w:rsidP="005B2A17">
      <w:pPr>
        <w:jc w:val="both"/>
        <w:rPr>
          <w:rFonts w:ascii="Verdana" w:hAnsi="Verdana"/>
          <w:sz w:val="20"/>
        </w:rPr>
      </w:pPr>
      <w:r w:rsidRPr="005B2A17">
        <w:rPr>
          <w:rFonts w:ascii="Verdana" w:hAnsi="Verdana"/>
          <w:sz w:val="20"/>
        </w:rPr>
        <w:lastRenderedPageBreak/>
        <w:drawing>
          <wp:inline distT="0" distB="0" distL="0" distR="0">
            <wp:extent cx="5608955" cy="6278245"/>
            <wp:effectExtent l="0" t="0" r="0" b="8255"/>
            <wp:docPr id="17" name="Imagen 17" descr="http://www.dof.gob.mx/imagenes_diarios/2017/12/11/MAT/sener11_Cimg_991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dof.gob.mx/imagenes_diarios/2017/12/11/MAT/sener11_Cimg_99153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8955" cy="6278245"/>
                    </a:xfrm>
                    <a:prstGeom prst="rect">
                      <a:avLst/>
                    </a:prstGeom>
                    <a:noFill/>
                    <a:ln>
                      <a:noFill/>
                    </a:ln>
                  </pic:spPr>
                </pic:pic>
              </a:graphicData>
            </a:graphic>
          </wp:inline>
        </w:drawing>
      </w:r>
    </w:p>
    <w:p w:rsidR="005B2A17" w:rsidRPr="005B2A17" w:rsidRDefault="005B2A17" w:rsidP="005B2A17">
      <w:pPr>
        <w:jc w:val="both"/>
        <w:rPr>
          <w:rFonts w:ascii="Verdana" w:hAnsi="Verdana"/>
          <w:sz w:val="20"/>
        </w:rPr>
      </w:pPr>
      <w:r w:rsidRPr="005B2A17">
        <w:rPr>
          <w:rFonts w:ascii="Verdana" w:hAnsi="Verdana"/>
          <w:b/>
          <w:bCs/>
          <w:sz w:val="20"/>
        </w:rPr>
        <w:t>ANEXO 7 Asignación de programas de importación y exportación por criterio de precios de oferta</w:t>
      </w:r>
    </w:p>
    <w:p w:rsidR="005B2A17" w:rsidRPr="005B2A17" w:rsidRDefault="005B2A17" w:rsidP="005B2A17">
      <w:pPr>
        <w:jc w:val="both"/>
        <w:rPr>
          <w:rFonts w:ascii="Verdana" w:hAnsi="Verdana"/>
          <w:sz w:val="20"/>
        </w:rPr>
      </w:pPr>
      <w:r w:rsidRPr="005B2A17">
        <w:rPr>
          <w:rFonts w:ascii="Verdana" w:hAnsi="Verdana"/>
          <w:b/>
          <w:bCs/>
          <w:sz w:val="20"/>
          <w:u w:val="single"/>
        </w:rPr>
        <w:t>Principios Básicos</w:t>
      </w:r>
    </w:p>
    <w:p w:rsidR="005B2A17" w:rsidRPr="005B2A17" w:rsidRDefault="005B2A17" w:rsidP="005B2A17">
      <w:pPr>
        <w:jc w:val="both"/>
        <w:rPr>
          <w:rFonts w:ascii="Verdana" w:hAnsi="Verdana"/>
          <w:sz w:val="20"/>
        </w:rPr>
      </w:pPr>
      <w:r w:rsidRPr="005B2A17">
        <w:rPr>
          <w:rFonts w:ascii="Verdana" w:hAnsi="Verdana"/>
          <w:sz w:val="20"/>
        </w:rPr>
        <w:t>El Mercado Eléctrico Mayorista está basado en un principio de precios marginales. Bajo este principio, todos los compradores y vendedores pagan o reciben el precio en que la cantidad ofertada es igual a la cantidad demandada, aunque unos compradores estén dispuestos a pagar más que ese precio, y unos vendedores estén dispuestos a aceptar menos que ese precio. Se ilustra a continuación:</w:t>
      </w:r>
    </w:p>
    <w:p w:rsidR="005B2A17" w:rsidRPr="005B2A17" w:rsidRDefault="005B2A17" w:rsidP="005B2A17">
      <w:pPr>
        <w:jc w:val="both"/>
        <w:rPr>
          <w:rFonts w:ascii="Verdana" w:hAnsi="Verdana"/>
          <w:sz w:val="20"/>
        </w:rPr>
      </w:pPr>
      <w:r w:rsidRPr="005B2A17">
        <w:rPr>
          <w:rFonts w:ascii="Verdana" w:hAnsi="Verdana"/>
          <w:sz w:val="20"/>
        </w:rPr>
        <w:lastRenderedPageBreak/>
        <w:t> </w:t>
      </w:r>
    </w:p>
    <w:p w:rsidR="005B2A17" w:rsidRPr="005B2A17" w:rsidRDefault="005B2A17" w:rsidP="005B2A17">
      <w:pPr>
        <w:jc w:val="both"/>
        <w:rPr>
          <w:rFonts w:ascii="Verdana" w:hAnsi="Verdana"/>
          <w:sz w:val="20"/>
        </w:rPr>
      </w:pPr>
      <w:r w:rsidRPr="005B2A17">
        <w:rPr>
          <w:rFonts w:ascii="Verdana" w:hAnsi="Verdana"/>
          <w:sz w:val="20"/>
        </w:rPr>
        <w:drawing>
          <wp:inline distT="0" distB="0" distL="0" distR="0">
            <wp:extent cx="5315585" cy="2988945"/>
            <wp:effectExtent l="0" t="0" r="0" b="1905"/>
            <wp:docPr id="16" name="Imagen 16" descr="http://www.dof.gob.mx/imagenes_diarios/2017/12/11/MAT/sener11_Cimg_1158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dof.gob.mx/imagenes_diarios/2017/12/11/MAT/sener11_Cimg_115812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5585" cy="2988945"/>
                    </a:xfrm>
                    <a:prstGeom prst="rect">
                      <a:avLst/>
                    </a:prstGeom>
                    <a:noFill/>
                    <a:ln>
                      <a:noFill/>
                    </a:ln>
                  </pic:spPr>
                </pic:pic>
              </a:graphicData>
            </a:graphic>
          </wp:inline>
        </w:drawing>
      </w:r>
    </w:p>
    <w:p w:rsidR="005B2A17" w:rsidRPr="005B2A17" w:rsidRDefault="005B2A17" w:rsidP="005B2A17">
      <w:pPr>
        <w:jc w:val="both"/>
        <w:rPr>
          <w:rFonts w:ascii="Verdana" w:hAnsi="Verdana"/>
          <w:sz w:val="20"/>
        </w:rPr>
      </w:pPr>
      <w:r w:rsidRPr="005B2A17">
        <w:rPr>
          <w:rFonts w:ascii="Verdana" w:hAnsi="Verdana"/>
          <w:sz w:val="20"/>
        </w:rPr>
        <w:t>Este mecanismo tiene las siguientes características atractivas:</w:t>
      </w:r>
    </w:p>
    <w:p w:rsidR="005B2A17" w:rsidRPr="005B2A17" w:rsidRDefault="005B2A17" w:rsidP="005B2A17">
      <w:pPr>
        <w:jc w:val="both"/>
        <w:rPr>
          <w:rFonts w:ascii="Verdana" w:hAnsi="Verdana"/>
          <w:sz w:val="20"/>
        </w:rPr>
      </w:pPr>
      <w:r w:rsidRPr="005B2A17">
        <w:rPr>
          <w:rFonts w:ascii="Verdana" w:hAnsi="Verdana"/>
          <w:sz w:val="20"/>
        </w:rPr>
        <w:t>-      Se asignan las cantidades a los compradores que más valoran el producto (ofertas más altas), y a los vendedores que tienen menores costos de producción (ofertas más bajas)</w:t>
      </w:r>
    </w:p>
    <w:p w:rsidR="005B2A17" w:rsidRPr="005B2A17" w:rsidRDefault="005B2A17" w:rsidP="005B2A17">
      <w:pPr>
        <w:jc w:val="both"/>
        <w:rPr>
          <w:rFonts w:ascii="Verdana" w:hAnsi="Verdana"/>
          <w:sz w:val="20"/>
        </w:rPr>
      </w:pPr>
      <w:r w:rsidRPr="005B2A17">
        <w:rPr>
          <w:rFonts w:ascii="Verdana" w:hAnsi="Verdana"/>
          <w:sz w:val="20"/>
        </w:rPr>
        <w:t>-      Se equilibra la cantidad ofertada con la cantidad demandada</w:t>
      </w:r>
    </w:p>
    <w:p w:rsidR="005B2A17" w:rsidRPr="005B2A17" w:rsidRDefault="005B2A17" w:rsidP="005B2A17">
      <w:pPr>
        <w:jc w:val="both"/>
        <w:rPr>
          <w:rFonts w:ascii="Verdana" w:hAnsi="Verdana"/>
          <w:sz w:val="20"/>
        </w:rPr>
      </w:pPr>
      <w:r w:rsidRPr="005B2A17">
        <w:rPr>
          <w:rFonts w:ascii="Verdana" w:hAnsi="Verdana"/>
          <w:sz w:val="20"/>
        </w:rPr>
        <w:t>-      Ningún participante tiene un incentivo para ofertar un precio diferente a su verdadera disposición a comprar o vender (es decir, para mentir sobre sus preferencias). Por ejemplo, si un vendedor ofrece un precio menor a sus costos de producción, sólo se puede perjudicar. Si sus costos ya estaban debajo del precio marginal, la reducción no tiene ningún impacto en el precio o cantidad asignada. Pero si sus costos eran mayores al precio marginal, la reducción puede resultar en una venta por debajo de costo.</w:t>
      </w:r>
    </w:p>
    <w:p w:rsidR="005B2A17" w:rsidRPr="005B2A17" w:rsidRDefault="005B2A17" w:rsidP="005B2A17">
      <w:pPr>
        <w:jc w:val="both"/>
        <w:rPr>
          <w:rFonts w:ascii="Verdana" w:hAnsi="Verdana"/>
          <w:sz w:val="20"/>
        </w:rPr>
      </w:pPr>
      <w:r w:rsidRPr="005B2A17">
        <w:rPr>
          <w:rFonts w:ascii="Verdana" w:hAnsi="Verdana"/>
          <w:b/>
          <w:bCs/>
          <w:sz w:val="20"/>
          <w:u w:val="single"/>
        </w:rPr>
        <w:t>Principios Básicos con Congestión</w:t>
      </w:r>
    </w:p>
    <w:p w:rsidR="005B2A17" w:rsidRPr="005B2A17" w:rsidRDefault="005B2A17" w:rsidP="005B2A17">
      <w:pPr>
        <w:jc w:val="both"/>
        <w:rPr>
          <w:rFonts w:ascii="Verdana" w:hAnsi="Verdana"/>
          <w:sz w:val="20"/>
        </w:rPr>
      </w:pPr>
      <w:r w:rsidRPr="005B2A17">
        <w:rPr>
          <w:rFonts w:ascii="Verdana" w:hAnsi="Verdana"/>
          <w:sz w:val="20"/>
        </w:rPr>
        <w:t>El principio de precios marginales obtiene una dimensión adicional cuando un límite de transmisión se vuelve una restricción activa. En este caso, la cantidad de energía que se puede transmitir es menor a la cantidad que estaría ofertada y demandada en un solo precio de equilibrio. Para que la cantidad demandada se reduzca al límite de transmisión, se requiere establecer un precio más alto en el punto de retiro. Y para que la cantidad ofertada se reduzca al límite de transmisión, se requiere establecer un precio más bajo en el punto de inyección. Es decir, habrá dos precios diferentes para los dos puntos de red; la diferencia en precios es el precio de la congestión. Se ilustra a continuación:</w:t>
      </w:r>
    </w:p>
    <w:p w:rsidR="005B2A17" w:rsidRPr="005B2A17" w:rsidRDefault="005B2A17" w:rsidP="005B2A17">
      <w:pPr>
        <w:jc w:val="both"/>
        <w:rPr>
          <w:rFonts w:ascii="Verdana" w:hAnsi="Verdana"/>
          <w:sz w:val="20"/>
        </w:rPr>
      </w:pPr>
      <w:r w:rsidRPr="005B2A17">
        <w:rPr>
          <w:rFonts w:ascii="Verdana" w:hAnsi="Verdana"/>
          <w:sz w:val="20"/>
        </w:rPr>
        <w:lastRenderedPageBreak/>
        <w:t> </w:t>
      </w:r>
    </w:p>
    <w:p w:rsidR="005B2A17" w:rsidRPr="005B2A17" w:rsidRDefault="005B2A17" w:rsidP="005B2A17">
      <w:pPr>
        <w:jc w:val="both"/>
        <w:rPr>
          <w:rFonts w:ascii="Verdana" w:hAnsi="Verdana"/>
          <w:sz w:val="20"/>
        </w:rPr>
      </w:pPr>
      <w:r w:rsidRPr="005B2A17">
        <w:rPr>
          <w:rFonts w:ascii="Verdana" w:hAnsi="Verdana"/>
          <w:sz w:val="20"/>
        </w:rPr>
        <w:drawing>
          <wp:inline distT="0" distB="0" distL="0" distR="0">
            <wp:extent cx="5001895" cy="2559050"/>
            <wp:effectExtent l="0" t="0" r="8255" b="0"/>
            <wp:docPr id="15" name="Imagen 15" descr="http://www.dof.gob.mx/imagenes_diarios/2017/12/11/MAT/sener11_Cimg_12086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dof.gob.mx/imagenes_diarios/2017/12/11/MAT/sener11_Cimg_120868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1895" cy="2559050"/>
                    </a:xfrm>
                    <a:prstGeom prst="rect">
                      <a:avLst/>
                    </a:prstGeom>
                    <a:noFill/>
                    <a:ln>
                      <a:noFill/>
                    </a:ln>
                  </pic:spPr>
                </pic:pic>
              </a:graphicData>
            </a:graphic>
          </wp:inline>
        </w:drawing>
      </w:r>
    </w:p>
    <w:p w:rsidR="005B2A17" w:rsidRPr="005B2A17" w:rsidRDefault="005B2A17" w:rsidP="005B2A17">
      <w:pPr>
        <w:jc w:val="both"/>
        <w:rPr>
          <w:rFonts w:ascii="Verdana" w:hAnsi="Verdana"/>
          <w:sz w:val="20"/>
        </w:rPr>
      </w:pPr>
      <w:r w:rsidRPr="005B2A17">
        <w:rPr>
          <w:rFonts w:ascii="Verdana" w:hAnsi="Verdana"/>
          <w:sz w:val="20"/>
        </w:rPr>
        <w:t>Aunque ahora hay dos precios diferentes, se observa que todavía se cumple la condición de que todos los vendedores reciben el mismo precio, igual al precio marginal en el punto de inyección. Asimismo, todos los compradores pagan el mismo precio, igual al precio marginal en el punto de retiro. Entonces se preservan las características deseadas:</w:t>
      </w:r>
    </w:p>
    <w:p w:rsidR="005B2A17" w:rsidRPr="005B2A17" w:rsidRDefault="005B2A17" w:rsidP="005B2A17">
      <w:pPr>
        <w:jc w:val="both"/>
        <w:rPr>
          <w:rFonts w:ascii="Verdana" w:hAnsi="Verdana"/>
          <w:sz w:val="20"/>
        </w:rPr>
      </w:pPr>
      <w:r w:rsidRPr="005B2A17">
        <w:rPr>
          <w:rFonts w:ascii="Verdana" w:hAnsi="Verdana"/>
          <w:sz w:val="20"/>
        </w:rPr>
        <w:t>-      Se asignan las cantidades a los compradores que más valoran el producto (ofertas más altas), y a los vendedores que tienen menores costos de producción (ofertas más bajas)</w:t>
      </w:r>
    </w:p>
    <w:p w:rsidR="005B2A17" w:rsidRPr="005B2A17" w:rsidRDefault="005B2A17" w:rsidP="005B2A17">
      <w:pPr>
        <w:jc w:val="both"/>
        <w:rPr>
          <w:rFonts w:ascii="Verdana" w:hAnsi="Verdana"/>
          <w:sz w:val="20"/>
        </w:rPr>
      </w:pPr>
      <w:r w:rsidRPr="005B2A17">
        <w:rPr>
          <w:rFonts w:ascii="Verdana" w:hAnsi="Verdana"/>
          <w:sz w:val="20"/>
        </w:rPr>
        <w:t>-      Se equilibra la cantidad ofertada con la cantidad demandada, ahora reducida al límite de transmisión.</w:t>
      </w:r>
    </w:p>
    <w:p w:rsidR="005B2A17" w:rsidRPr="005B2A17" w:rsidRDefault="005B2A17" w:rsidP="005B2A17">
      <w:pPr>
        <w:jc w:val="both"/>
        <w:rPr>
          <w:rFonts w:ascii="Verdana" w:hAnsi="Verdana"/>
          <w:sz w:val="20"/>
        </w:rPr>
      </w:pPr>
      <w:r w:rsidRPr="005B2A17">
        <w:rPr>
          <w:rFonts w:ascii="Verdana" w:hAnsi="Verdana"/>
          <w:sz w:val="20"/>
        </w:rPr>
        <w:t>-      Ningún participante tiene un incentivo para ofertar un precio diferente a su verdadera disposición a comprar o vender (es decir, para mentir sobre sus preferencias).</w:t>
      </w:r>
    </w:p>
    <w:p w:rsidR="005B2A17" w:rsidRPr="005B2A17" w:rsidRDefault="005B2A17" w:rsidP="005B2A17">
      <w:pPr>
        <w:jc w:val="both"/>
        <w:rPr>
          <w:rFonts w:ascii="Verdana" w:hAnsi="Verdana"/>
          <w:sz w:val="20"/>
        </w:rPr>
      </w:pPr>
      <w:r w:rsidRPr="005B2A17">
        <w:rPr>
          <w:rFonts w:ascii="Verdana" w:hAnsi="Verdana"/>
          <w:b/>
          <w:bCs/>
          <w:sz w:val="20"/>
          <w:u w:val="single"/>
        </w:rPr>
        <w:t>Bases del Mercado Eléctrico para Importación/Exportación.</w:t>
      </w:r>
    </w:p>
    <w:p w:rsidR="005B2A17" w:rsidRPr="005B2A17" w:rsidRDefault="005B2A17" w:rsidP="005B2A17">
      <w:pPr>
        <w:jc w:val="both"/>
        <w:rPr>
          <w:rFonts w:ascii="Verdana" w:hAnsi="Verdana"/>
          <w:sz w:val="20"/>
        </w:rPr>
      </w:pPr>
      <w:r w:rsidRPr="005B2A17">
        <w:rPr>
          <w:rFonts w:ascii="Verdana" w:hAnsi="Verdana"/>
          <w:sz w:val="20"/>
        </w:rPr>
        <w:t>Las Bases del Mercado Eléctrico pretenden aplicar el principio de precios marginales a las transacciones de importación y exportación. En particular, la base 10.5.1 (h) establece:</w:t>
      </w:r>
    </w:p>
    <w:p w:rsidR="005B2A17" w:rsidRPr="005B2A17" w:rsidRDefault="005B2A17" w:rsidP="005B2A17">
      <w:pPr>
        <w:jc w:val="both"/>
        <w:rPr>
          <w:rFonts w:ascii="Verdana" w:hAnsi="Verdana"/>
          <w:sz w:val="20"/>
        </w:rPr>
      </w:pPr>
      <w:r w:rsidRPr="005B2A17">
        <w:rPr>
          <w:rFonts w:ascii="Verdana" w:hAnsi="Verdana"/>
          <w:i/>
          <w:iCs/>
          <w:sz w:val="20"/>
        </w:rPr>
        <w:t>Un "límite de la interconexión" se utilizará para obligar al cumplimiento de los límites de programación entre el Punto de Entrega/Punto de Recepción y el área externa de control. Se modelará como una restricción entre el Punto de Entrega/Punto de Recepción y el resto del Sistema Eléctrico Nacional, con un valor igual a la potencia disponible para programación entre el área de control externa y el Punto de Entrega/Punto de Recepción.</w:t>
      </w:r>
    </w:p>
    <w:p w:rsidR="005B2A17" w:rsidRPr="005B2A17" w:rsidRDefault="005B2A17" w:rsidP="005B2A17">
      <w:pPr>
        <w:jc w:val="both"/>
        <w:rPr>
          <w:rFonts w:ascii="Verdana" w:hAnsi="Verdana"/>
          <w:sz w:val="20"/>
        </w:rPr>
      </w:pPr>
      <w:r w:rsidRPr="005B2A17">
        <w:rPr>
          <w:rFonts w:ascii="Verdana" w:hAnsi="Verdana"/>
          <w:sz w:val="20"/>
        </w:rPr>
        <w:lastRenderedPageBreak/>
        <w:t xml:space="preserve">Este texto requiere que el CENACE establezca un Punto de Entrega/Punto de Recepción que no sea el bus físico en el lado mexicano de la frontera, porque el modelo de red ya prevé un límite de transmisión entre este bus y el resto del Sistema Eléctrico Nacional, y ese límite es diferente a la capacidad disponible entre el área de control externa y el Punto de Entrega/Punto de Recepción. Entonces, el Punto de Entrega/Punto de Recepción tiene que modelarse como un nodo adicional al bus físico donde se interconecta el SIN al sistema vecino. En particular, Punto de Entrega/Punto de Recepción puede modelarse como un </w:t>
      </w:r>
      <w:proofErr w:type="spellStart"/>
      <w:r w:rsidRPr="005B2A17">
        <w:rPr>
          <w:rFonts w:ascii="Verdana" w:hAnsi="Verdana"/>
          <w:sz w:val="20"/>
        </w:rPr>
        <w:t>NodoPcorrespondiente</w:t>
      </w:r>
      <w:proofErr w:type="spellEnd"/>
      <w:r w:rsidRPr="005B2A17">
        <w:rPr>
          <w:rFonts w:ascii="Verdana" w:hAnsi="Verdana"/>
          <w:sz w:val="20"/>
        </w:rPr>
        <w:t xml:space="preserve"> al bus de red ubicado en el Sistema Eléctrico Vecino.</w:t>
      </w:r>
    </w:p>
    <w:p w:rsidR="005B2A17" w:rsidRPr="005B2A17" w:rsidRDefault="005B2A17" w:rsidP="005B2A17">
      <w:pPr>
        <w:jc w:val="both"/>
        <w:rPr>
          <w:rFonts w:ascii="Verdana" w:hAnsi="Verdana"/>
          <w:sz w:val="20"/>
        </w:rPr>
      </w:pPr>
      <w:r w:rsidRPr="005B2A17">
        <w:rPr>
          <w:rFonts w:ascii="Verdana" w:hAnsi="Verdana"/>
          <w:sz w:val="20"/>
        </w:rPr>
        <w:t>Si se aplica el principio establecido en la base 10.5.1 (h), se logrará el resultado ilustrado arriba en la sección de "precios marginales con congestión". Esta solución resulta en todos los beneficios de los precios marginales. En particular, cuando hay más oferta de venta en un sistema extranjero que el límite de transmisión para importación, un esquema de precios marginales hará que los posibles vendedores compitan en precio, tal que el mercado sólo asigne programas a las ofertas más baratas. El precio marginal será igual al precio más barata en que la cantidad ofertada es igual al límite de transmisión para importación. Y no habrá incentivos para que los participantes oferten un precio diferente a su verdadera disposición a comprar o vender (es decir, para mentir sobre sus preferencias).</w:t>
      </w:r>
    </w:p>
    <w:p w:rsidR="005B2A17" w:rsidRPr="005B2A17" w:rsidRDefault="005B2A17" w:rsidP="005B2A17">
      <w:pPr>
        <w:jc w:val="both"/>
        <w:rPr>
          <w:rFonts w:ascii="Verdana" w:hAnsi="Verdana"/>
          <w:sz w:val="20"/>
        </w:rPr>
      </w:pPr>
      <w:r w:rsidRPr="005B2A17">
        <w:rPr>
          <w:rFonts w:ascii="Verdana" w:hAnsi="Verdana"/>
          <w:sz w:val="20"/>
        </w:rPr>
        <w:t> </w:t>
      </w:r>
    </w:p>
    <w:p w:rsidR="005B2A17" w:rsidRPr="005B2A17" w:rsidRDefault="005B2A17" w:rsidP="005B2A17">
      <w:pPr>
        <w:jc w:val="both"/>
        <w:rPr>
          <w:rFonts w:ascii="Verdana" w:hAnsi="Verdana"/>
          <w:sz w:val="20"/>
        </w:rPr>
      </w:pPr>
      <w:r w:rsidRPr="005B2A17">
        <w:rPr>
          <w:rFonts w:ascii="Verdana" w:hAnsi="Verdana"/>
          <w:b/>
          <w:bCs/>
          <w:sz w:val="20"/>
          <w:u w:val="single"/>
        </w:rPr>
        <w:t>Aplicación Inicial para Importación/Exportación.</w:t>
      </w:r>
    </w:p>
    <w:p w:rsidR="005B2A17" w:rsidRPr="005B2A17" w:rsidRDefault="005B2A17" w:rsidP="005B2A17">
      <w:pPr>
        <w:jc w:val="both"/>
        <w:rPr>
          <w:rFonts w:ascii="Verdana" w:hAnsi="Verdana"/>
          <w:sz w:val="20"/>
        </w:rPr>
      </w:pPr>
      <w:r w:rsidRPr="005B2A17">
        <w:rPr>
          <w:rFonts w:ascii="Verdana" w:hAnsi="Verdana"/>
          <w:sz w:val="20"/>
        </w:rPr>
        <w:t>Debido a la falta de especificad en la 10.5.1 (h), el CENACE ha implementado un esquema diferente para determinar la asignación y precios para importaciones y exportaciones. En particular, para importaciones:</w:t>
      </w:r>
    </w:p>
    <w:p w:rsidR="005B2A17" w:rsidRPr="005B2A17" w:rsidRDefault="005B2A17" w:rsidP="005B2A17">
      <w:pPr>
        <w:jc w:val="both"/>
        <w:rPr>
          <w:rFonts w:ascii="Verdana" w:hAnsi="Verdana"/>
          <w:sz w:val="20"/>
        </w:rPr>
      </w:pPr>
      <w:r w:rsidRPr="005B2A17">
        <w:rPr>
          <w:rFonts w:ascii="Verdana" w:hAnsi="Verdana"/>
          <w:sz w:val="20"/>
        </w:rPr>
        <w:t>1.     El precio aplicable es el precio en punto de retiro, aun cuando un límite de transferencia hace imposible que la cantidad ofertada a ese precio fuera transmitida.</w:t>
      </w:r>
    </w:p>
    <w:p w:rsidR="005B2A17" w:rsidRPr="005B2A17" w:rsidRDefault="005B2A17" w:rsidP="005B2A17">
      <w:pPr>
        <w:jc w:val="both"/>
        <w:rPr>
          <w:rFonts w:ascii="Verdana" w:hAnsi="Verdana"/>
          <w:sz w:val="20"/>
        </w:rPr>
      </w:pPr>
      <w:r w:rsidRPr="005B2A17">
        <w:rPr>
          <w:rFonts w:ascii="Verdana" w:hAnsi="Verdana"/>
          <w:sz w:val="20"/>
        </w:rPr>
        <w:t>2.     Dado que dicho precio causa que la cantidad ofertada rebase la capacidad de transferencia, se usa una regla de proporcionalidad para asignar cantidades entre diferentes participantes de mercado.</w:t>
      </w:r>
    </w:p>
    <w:p w:rsidR="005B2A17" w:rsidRPr="005B2A17" w:rsidRDefault="005B2A17" w:rsidP="005B2A17">
      <w:pPr>
        <w:jc w:val="both"/>
        <w:rPr>
          <w:rFonts w:ascii="Verdana" w:hAnsi="Verdana"/>
          <w:sz w:val="20"/>
        </w:rPr>
      </w:pPr>
      <w:r w:rsidRPr="005B2A17">
        <w:rPr>
          <w:rFonts w:ascii="Verdana" w:hAnsi="Verdana"/>
          <w:sz w:val="20"/>
        </w:rPr>
        <w:t>Este enfoque se ilustra en la siguiente gráfica:</w:t>
      </w:r>
    </w:p>
    <w:p w:rsidR="005B2A17" w:rsidRPr="005B2A17" w:rsidRDefault="005B2A17" w:rsidP="005B2A17">
      <w:pPr>
        <w:jc w:val="both"/>
        <w:rPr>
          <w:rFonts w:ascii="Verdana" w:hAnsi="Verdana"/>
          <w:sz w:val="20"/>
        </w:rPr>
      </w:pPr>
      <w:r w:rsidRPr="005B2A17">
        <w:rPr>
          <w:rFonts w:ascii="Verdana" w:hAnsi="Verdana"/>
          <w:sz w:val="20"/>
        </w:rPr>
        <w:lastRenderedPageBreak/>
        <w:drawing>
          <wp:inline distT="0" distB="0" distL="0" distR="0">
            <wp:extent cx="5302250" cy="2968625"/>
            <wp:effectExtent l="0" t="0" r="0" b="3175"/>
            <wp:docPr id="14" name="Imagen 14" descr="http://www.dof.gob.mx/imagenes_diarios/2017/12/11/MAT/sener11_Cimg_12675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dof.gob.mx/imagenes_diarios/2017/12/11/MAT/sener11_Cimg_126758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2250" cy="2968625"/>
                    </a:xfrm>
                    <a:prstGeom prst="rect">
                      <a:avLst/>
                    </a:prstGeom>
                    <a:noFill/>
                    <a:ln>
                      <a:noFill/>
                    </a:ln>
                  </pic:spPr>
                </pic:pic>
              </a:graphicData>
            </a:graphic>
          </wp:inline>
        </w:drawing>
      </w:r>
    </w:p>
    <w:p w:rsidR="005B2A17" w:rsidRPr="005B2A17" w:rsidRDefault="005B2A17" w:rsidP="005B2A17">
      <w:pPr>
        <w:jc w:val="both"/>
        <w:rPr>
          <w:rFonts w:ascii="Verdana" w:hAnsi="Verdana"/>
          <w:sz w:val="20"/>
        </w:rPr>
      </w:pPr>
      <w:r w:rsidRPr="005B2A17">
        <w:rPr>
          <w:rFonts w:ascii="Verdana" w:hAnsi="Verdana"/>
          <w:sz w:val="20"/>
        </w:rPr>
        <w:t>Se aprecia que los vendedores reciben un precio significativamente mayor al precio de equilibrio en el que la cantidad de ofertas competitivas habría sido igual al límite de transmisión. Bajo la práctica inicial del mercado, les conviene a los vendedores mentir sobre sus verdaderas preferencias. En particular, todos tienen que ofrecer precios iguales a la oferta piso, para crear un empate con los otros oferentes y participar en la asignación proporcional. A diferencia de un esquema de precios marginales, bajo la práctica inicial esta estrategia no perjudica a los vendedores, ya que el precio pagado es el precio marginal en el punto de retiro, y no en el punto de inyección.</w:t>
      </w:r>
    </w:p>
    <w:p w:rsidR="005B2A17" w:rsidRPr="005B2A17" w:rsidRDefault="005B2A17" w:rsidP="005B2A17">
      <w:pPr>
        <w:jc w:val="both"/>
        <w:rPr>
          <w:rFonts w:ascii="Verdana" w:hAnsi="Verdana"/>
          <w:sz w:val="20"/>
        </w:rPr>
      </w:pPr>
      <w:r w:rsidRPr="005B2A17">
        <w:rPr>
          <w:rFonts w:ascii="Verdana" w:hAnsi="Verdana"/>
          <w:sz w:val="20"/>
        </w:rPr>
        <w:t xml:space="preserve">Este esquema resulta </w:t>
      </w:r>
      <w:proofErr w:type="spellStart"/>
      <w:r w:rsidRPr="005B2A17">
        <w:rPr>
          <w:rFonts w:ascii="Verdana" w:hAnsi="Verdana"/>
          <w:sz w:val="20"/>
        </w:rPr>
        <w:t>subóptimo</w:t>
      </w:r>
      <w:proofErr w:type="spellEnd"/>
      <w:r w:rsidRPr="005B2A17">
        <w:rPr>
          <w:rFonts w:ascii="Verdana" w:hAnsi="Verdana"/>
          <w:sz w:val="20"/>
        </w:rPr>
        <w:t xml:space="preserve"> para la eficiencia del mercado. Los compradores no tienen acceso a un precio competitivo, y los vendedores reciben rentas superiores a lo que requerirían para compensar sus costos y riesgos en un esquema de competencia. En cambio, al adoptar un esquema de precios basados en la oferta y demanda con congestión, se eliminan los incentivos perversos para ofrecer el precio piso o el precio tope. Cada participante tendrá incentivos para ofertar sus verdaderas preferencias. En consecuencia, la probabilidad de empates se vuelve muy baja, y el mecanismo para romper empates se vuelve poco usado.</w:t>
      </w:r>
    </w:p>
    <w:p w:rsidR="005B2A17" w:rsidRPr="005B2A17" w:rsidRDefault="005B2A17" w:rsidP="005B2A17">
      <w:pPr>
        <w:jc w:val="both"/>
        <w:rPr>
          <w:rFonts w:ascii="Verdana" w:hAnsi="Verdana"/>
          <w:sz w:val="20"/>
        </w:rPr>
      </w:pPr>
      <w:r w:rsidRPr="005B2A17">
        <w:rPr>
          <w:rFonts w:ascii="Verdana" w:hAnsi="Verdana"/>
          <w:sz w:val="20"/>
        </w:rPr>
        <w:t>________________________________</w:t>
      </w:r>
    </w:p>
    <w:p w:rsidR="005B2A17" w:rsidRPr="005B2A17" w:rsidRDefault="005B2A17" w:rsidP="005B2A17">
      <w:pPr>
        <w:jc w:val="both"/>
        <w:rPr>
          <w:rFonts w:ascii="Verdana" w:hAnsi="Verdana"/>
          <w:sz w:val="20"/>
        </w:rPr>
      </w:pPr>
      <w:r w:rsidRPr="005B2A17">
        <w:rPr>
          <w:rFonts w:ascii="Verdana" w:hAnsi="Verdana"/>
          <w:sz w:val="20"/>
        </w:rPr>
        <w:t> </w:t>
      </w:r>
    </w:p>
    <w:p w:rsidR="005B2A17" w:rsidRPr="005B2A17" w:rsidRDefault="005B2A17" w:rsidP="005B2A17">
      <w:pPr>
        <w:jc w:val="both"/>
        <w:rPr>
          <w:rFonts w:ascii="Verdana" w:hAnsi="Verdana"/>
          <w:sz w:val="20"/>
        </w:rPr>
      </w:pPr>
      <w:r w:rsidRPr="005B2A17">
        <w:rPr>
          <w:rFonts w:ascii="Verdana" w:hAnsi="Verdana"/>
          <w:sz w:val="20"/>
        </w:rPr>
        <w:t>1     En condiciones normales de operación.</w:t>
      </w:r>
    </w:p>
    <w:p w:rsidR="005B2A17" w:rsidRPr="005B2A17" w:rsidRDefault="005B2A17" w:rsidP="005B2A17">
      <w:pPr>
        <w:jc w:val="both"/>
        <w:rPr>
          <w:rFonts w:ascii="Verdana" w:hAnsi="Verdana"/>
          <w:sz w:val="20"/>
        </w:rPr>
      </w:pPr>
    </w:p>
    <w:sectPr w:rsidR="005B2A17" w:rsidRPr="005B2A1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A17"/>
    <w:rsid w:val="002228FA"/>
    <w:rsid w:val="005B2A17"/>
    <w:rsid w:val="00C06CE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5B2A17"/>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5B2A17"/>
    <w:rPr>
      <w:rFonts w:ascii="Times New Roman" w:eastAsia="Times New Roman" w:hAnsi="Times New Roman" w:cs="Times New Roman"/>
      <w:b/>
      <w:bCs/>
      <w:sz w:val="36"/>
      <w:szCs w:val="36"/>
      <w:lang w:eastAsia="es-MX"/>
    </w:rPr>
  </w:style>
  <w:style w:type="paragraph" w:styleId="Textodeglobo">
    <w:name w:val="Balloon Text"/>
    <w:basedOn w:val="Normal"/>
    <w:link w:val="TextodegloboCar"/>
    <w:uiPriority w:val="99"/>
    <w:semiHidden/>
    <w:unhideWhenUsed/>
    <w:rsid w:val="005B2A1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B2A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5B2A17"/>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5B2A17"/>
    <w:rPr>
      <w:rFonts w:ascii="Times New Roman" w:eastAsia="Times New Roman" w:hAnsi="Times New Roman" w:cs="Times New Roman"/>
      <w:b/>
      <w:bCs/>
      <w:sz w:val="36"/>
      <w:szCs w:val="36"/>
      <w:lang w:eastAsia="es-MX"/>
    </w:rPr>
  </w:style>
  <w:style w:type="paragraph" w:styleId="Textodeglobo">
    <w:name w:val="Balloon Text"/>
    <w:basedOn w:val="Normal"/>
    <w:link w:val="TextodegloboCar"/>
    <w:uiPriority w:val="99"/>
    <w:semiHidden/>
    <w:unhideWhenUsed/>
    <w:rsid w:val="005B2A1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B2A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991168">
      <w:bodyDiv w:val="1"/>
      <w:marLeft w:val="0"/>
      <w:marRight w:val="0"/>
      <w:marTop w:val="0"/>
      <w:marBottom w:val="0"/>
      <w:divBdr>
        <w:top w:val="none" w:sz="0" w:space="0" w:color="auto"/>
        <w:left w:val="none" w:sz="0" w:space="0" w:color="auto"/>
        <w:bottom w:val="none" w:sz="0" w:space="0" w:color="auto"/>
        <w:right w:val="none" w:sz="0" w:space="0" w:color="auto"/>
      </w:divBdr>
      <w:divsChild>
        <w:div w:id="222299247">
          <w:marLeft w:val="0"/>
          <w:marRight w:val="0"/>
          <w:marTop w:val="0"/>
          <w:marBottom w:val="101"/>
          <w:divBdr>
            <w:top w:val="none" w:sz="0" w:space="0" w:color="auto"/>
            <w:left w:val="none" w:sz="0" w:space="0" w:color="auto"/>
            <w:bottom w:val="none" w:sz="0" w:space="0" w:color="auto"/>
            <w:right w:val="none" w:sz="0" w:space="0" w:color="auto"/>
          </w:divBdr>
        </w:div>
        <w:div w:id="552352829">
          <w:marLeft w:val="0"/>
          <w:marRight w:val="0"/>
          <w:marTop w:val="101"/>
          <w:marBottom w:val="101"/>
          <w:divBdr>
            <w:top w:val="none" w:sz="0" w:space="0" w:color="auto"/>
            <w:left w:val="none" w:sz="0" w:space="0" w:color="auto"/>
            <w:bottom w:val="none" w:sz="0" w:space="0" w:color="auto"/>
            <w:right w:val="none" w:sz="0" w:space="0" w:color="auto"/>
          </w:divBdr>
        </w:div>
        <w:div w:id="2116749812">
          <w:marLeft w:val="0"/>
          <w:marRight w:val="0"/>
          <w:marTop w:val="0"/>
          <w:marBottom w:val="101"/>
          <w:divBdr>
            <w:top w:val="none" w:sz="0" w:space="0" w:color="auto"/>
            <w:left w:val="none" w:sz="0" w:space="0" w:color="auto"/>
            <w:bottom w:val="none" w:sz="0" w:space="0" w:color="auto"/>
            <w:right w:val="none" w:sz="0" w:space="0" w:color="auto"/>
          </w:divBdr>
        </w:div>
        <w:div w:id="1713068158">
          <w:marLeft w:val="0"/>
          <w:marRight w:val="0"/>
          <w:marTop w:val="0"/>
          <w:marBottom w:val="101"/>
          <w:divBdr>
            <w:top w:val="none" w:sz="0" w:space="0" w:color="auto"/>
            <w:left w:val="none" w:sz="0" w:space="0" w:color="auto"/>
            <w:bottom w:val="none" w:sz="0" w:space="0" w:color="auto"/>
            <w:right w:val="none" w:sz="0" w:space="0" w:color="auto"/>
          </w:divBdr>
        </w:div>
        <w:div w:id="106588425">
          <w:marLeft w:val="0"/>
          <w:marRight w:val="0"/>
          <w:marTop w:val="0"/>
          <w:marBottom w:val="101"/>
          <w:divBdr>
            <w:top w:val="none" w:sz="0" w:space="0" w:color="auto"/>
            <w:left w:val="none" w:sz="0" w:space="0" w:color="auto"/>
            <w:bottom w:val="none" w:sz="0" w:space="0" w:color="auto"/>
            <w:right w:val="none" w:sz="0" w:space="0" w:color="auto"/>
          </w:divBdr>
        </w:div>
        <w:div w:id="575480618">
          <w:marLeft w:val="0"/>
          <w:marRight w:val="0"/>
          <w:marTop w:val="0"/>
          <w:marBottom w:val="101"/>
          <w:divBdr>
            <w:top w:val="none" w:sz="0" w:space="0" w:color="auto"/>
            <w:left w:val="none" w:sz="0" w:space="0" w:color="auto"/>
            <w:bottom w:val="none" w:sz="0" w:space="0" w:color="auto"/>
            <w:right w:val="none" w:sz="0" w:space="0" w:color="auto"/>
          </w:divBdr>
        </w:div>
        <w:div w:id="120810030">
          <w:marLeft w:val="0"/>
          <w:marRight w:val="0"/>
          <w:marTop w:val="0"/>
          <w:marBottom w:val="101"/>
          <w:divBdr>
            <w:top w:val="none" w:sz="0" w:space="0" w:color="auto"/>
            <w:left w:val="none" w:sz="0" w:space="0" w:color="auto"/>
            <w:bottom w:val="none" w:sz="0" w:space="0" w:color="auto"/>
            <w:right w:val="none" w:sz="0" w:space="0" w:color="auto"/>
          </w:divBdr>
        </w:div>
        <w:div w:id="399324665">
          <w:marLeft w:val="0"/>
          <w:marRight w:val="0"/>
          <w:marTop w:val="0"/>
          <w:marBottom w:val="101"/>
          <w:divBdr>
            <w:top w:val="none" w:sz="0" w:space="0" w:color="auto"/>
            <w:left w:val="none" w:sz="0" w:space="0" w:color="auto"/>
            <w:bottom w:val="none" w:sz="0" w:space="0" w:color="auto"/>
            <w:right w:val="none" w:sz="0" w:space="0" w:color="auto"/>
          </w:divBdr>
        </w:div>
        <w:div w:id="883181641">
          <w:marLeft w:val="0"/>
          <w:marRight w:val="0"/>
          <w:marTop w:val="0"/>
          <w:marBottom w:val="101"/>
          <w:divBdr>
            <w:top w:val="none" w:sz="0" w:space="0" w:color="auto"/>
            <w:left w:val="none" w:sz="0" w:space="0" w:color="auto"/>
            <w:bottom w:val="none" w:sz="0" w:space="0" w:color="auto"/>
            <w:right w:val="none" w:sz="0" w:space="0" w:color="auto"/>
          </w:divBdr>
        </w:div>
        <w:div w:id="1139687964">
          <w:marLeft w:val="0"/>
          <w:marRight w:val="0"/>
          <w:marTop w:val="101"/>
          <w:marBottom w:val="101"/>
          <w:divBdr>
            <w:top w:val="none" w:sz="0" w:space="0" w:color="auto"/>
            <w:left w:val="none" w:sz="0" w:space="0" w:color="auto"/>
            <w:bottom w:val="none" w:sz="0" w:space="0" w:color="auto"/>
            <w:right w:val="none" w:sz="0" w:space="0" w:color="auto"/>
          </w:divBdr>
        </w:div>
        <w:div w:id="1164589389">
          <w:marLeft w:val="0"/>
          <w:marRight w:val="0"/>
          <w:marTop w:val="0"/>
          <w:marBottom w:val="101"/>
          <w:divBdr>
            <w:top w:val="none" w:sz="0" w:space="0" w:color="auto"/>
            <w:left w:val="none" w:sz="0" w:space="0" w:color="auto"/>
            <w:bottom w:val="none" w:sz="0" w:space="0" w:color="auto"/>
            <w:right w:val="none" w:sz="0" w:space="0" w:color="auto"/>
          </w:divBdr>
        </w:div>
        <w:div w:id="1558978295">
          <w:marLeft w:val="0"/>
          <w:marRight w:val="0"/>
          <w:marTop w:val="101"/>
          <w:marBottom w:val="101"/>
          <w:divBdr>
            <w:top w:val="none" w:sz="0" w:space="0" w:color="auto"/>
            <w:left w:val="none" w:sz="0" w:space="0" w:color="auto"/>
            <w:bottom w:val="none" w:sz="0" w:space="0" w:color="auto"/>
            <w:right w:val="none" w:sz="0" w:space="0" w:color="auto"/>
          </w:divBdr>
        </w:div>
        <w:div w:id="1781532287">
          <w:marLeft w:val="0"/>
          <w:marRight w:val="0"/>
          <w:marTop w:val="0"/>
          <w:marBottom w:val="101"/>
          <w:divBdr>
            <w:top w:val="none" w:sz="0" w:space="0" w:color="auto"/>
            <w:left w:val="none" w:sz="0" w:space="0" w:color="auto"/>
            <w:bottom w:val="none" w:sz="0" w:space="0" w:color="auto"/>
            <w:right w:val="none" w:sz="0" w:space="0" w:color="auto"/>
          </w:divBdr>
        </w:div>
        <w:div w:id="988285699">
          <w:marLeft w:val="0"/>
          <w:marRight w:val="0"/>
          <w:marTop w:val="0"/>
          <w:marBottom w:val="101"/>
          <w:divBdr>
            <w:top w:val="none" w:sz="0" w:space="0" w:color="auto"/>
            <w:left w:val="none" w:sz="0" w:space="0" w:color="auto"/>
            <w:bottom w:val="none" w:sz="0" w:space="0" w:color="auto"/>
            <w:right w:val="none" w:sz="0" w:space="0" w:color="auto"/>
          </w:divBdr>
        </w:div>
        <w:div w:id="242841799">
          <w:marLeft w:val="0"/>
          <w:marRight w:val="0"/>
          <w:marTop w:val="101"/>
          <w:marBottom w:val="101"/>
          <w:divBdr>
            <w:top w:val="none" w:sz="0" w:space="0" w:color="auto"/>
            <w:left w:val="none" w:sz="0" w:space="0" w:color="auto"/>
            <w:bottom w:val="none" w:sz="0" w:space="0" w:color="auto"/>
            <w:right w:val="none" w:sz="0" w:space="0" w:color="auto"/>
          </w:divBdr>
        </w:div>
        <w:div w:id="475223575">
          <w:marLeft w:val="0"/>
          <w:marRight w:val="0"/>
          <w:marTop w:val="101"/>
          <w:marBottom w:val="101"/>
          <w:divBdr>
            <w:top w:val="none" w:sz="0" w:space="0" w:color="auto"/>
            <w:left w:val="none" w:sz="0" w:space="0" w:color="auto"/>
            <w:bottom w:val="none" w:sz="0" w:space="0" w:color="auto"/>
            <w:right w:val="none" w:sz="0" w:space="0" w:color="auto"/>
          </w:divBdr>
        </w:div>
        <w:div w:id="1389305204">
          <w:marLeft w:val="0"/>
          <w:marRight w:val="0"/>
          <w:marTop w:val="101"/>
          <w:marBottom w:val="101"/>
          <w:divBdr>
            <w:top w:val="none" w:sz="0" w:space="0" w:color="auto"/>
            <w:left w:val="none" w:sz="0" w:space="0" w:color="auto"/>
            <w:bottom w:val="none" w:sz="0" w:space="0" w:color="auto"/>
            <w:right w:val="none" w:sz="0" w:space="0" w:color="auto"/>
          </w:divBdr>
        </w:div>
        <w:div w:id="2040928718">
          <w:marLeft w:val="0"/>
          <w:marRight w:val="0"/>
          <w:marTop w:val="0"/>
          <w:marBottom w:val="101"/>
          <w:divBdr>
            <w:top w:val="none" w:sz="0" w:space="0" w:color="auto"/>
            <w:left w:val="none" w:sz="0" w:space="0" w:color="auto"/>
            <w:bottom w:val="none" w:sz="0" w:space="0" w:color="auto"/>
            <w:right w:val="none" w:sz="0" w:space="0" w:color="auto"/>
          </w:divBdr>
        </w:div>
        <w:div w:id="117185839">
          <w:marLeft w:val="0"/>
          <w:marRight w:val="0"/>
          <w:marTop w:val="0"/>
          <w:marBottom w:val="101"/>
          <w:divBdr>
            <w:top w:val="none" w:sz="0" w:space="0" w:color="auto"/>
            <w:left w:val="none" w:sz="0" w:space="0" w:color="auto"/>
            <w:bottom w:val="none" w:sz="0" w:space="0" w:color="auto"/>
            <w:right w:val="none" w:sz="0" w:space="0" w:color="auto"/>
          </w:divBdr>
        </w:div>
        <w:div w:id="826094880">
          <w:marLeft w:val="0"/>
          <w:marRight w:val="0"/>
          <w:marTop w:val="0"/>
          <w:marBottom w:val="101"/>
          <w:divBdr>
            <w:top w:val="none" w:sz="0" w:space="0" w:color="auto"/>
            <w:left w:val="none" w:sz="0" w:space="0" w:color="auto"/>
            <w:bottom w:val="none" w:sz="0" w:space="0" w:color="auto"/>
            <w:right w:val="none" w:sz="0" w:space="0" w:color="auto"/>
          </w:divBdr>
        </w:div>
        <w:div w:id="832066649">
          <w:marLeft w:val="0"/>
          <w:marRight w:val="0"/>
          <w:marTop w:val="0"/>
          <w:marBottom w:val="101"/>
          <w:divBdr>
            <w:top w:val="none" w:sz="0" w:space="0" w:color="auto"/>
            <w:left w:val="none" w:sz="0" w:space="0" w:color="auto"/>
            <w:bottom w:val="none" w:sz="0" w:space="0" w:color="auto"/>
            <w:right w:val="none" w:sz="0" w:space="0" w:color="auto"/>
          </w:divBdr>
        </w:div>
        <w:div w:id="235365182">
          <w:marLeft w:val="0"/>
          <w:marRight w:val="0"/>
          <w:marTop w:val="0"/>
          <w:marBottom w:val="101"/>
          <w:divBdr>
            <w:top w:val="none" w:sz="0" w:space="0" w:color="auto"/>
            <w:left w:val="none" w:sz="0" w:space="0" w:color="auto"/>
            <w:bottom w:val="none" w:sz="0" w:space="0" w:color="auto"/>
            <w:right w:val="none" w:sz="0" w:space="0" w:color="auto"/>
          </w:divBdr>
        </w:div>
        <w:div w:id="1787695944">
          <w:marLeft w:val="0"/>
          <w:marRight w:val="0"/>
          <w:marTop w:val="0"/>
          <w:marBottom w:val="101"/>
          <w:divBdr>
            <w:top w:val="none" w:sz="0" w:space="0" w:color="auto"/>
            <w:left w:val="none" w:sz="0" w:space="0" w:color="auto"/>
            <w:bottom w:val="none" w:sz="0" w:space="0" w:color="auto"/>
            <w:right w:val="none" w:sz="0" w:space="0" w:color="auto"/>
          </w:divBdr>
        </w:div>
        <w:div w:id="1070693744">
          <w:marLeft w:val="720"/>
          <w:marRight w:val="0"/>
          <w:marTop w:val="0"/>
          <w:marBottom w:val="101"/>
          <w:divBdr>
            <w:top w:val="none" w:sz="0" w:space="0" w:color="auto"/>
            <w:left w:val="none" w:sz="0" w:space="0" w:color="auto"/>
            <w:bottom w:val="none" w:sz="0" w:space="0" w:color="auto"/>
            <w:right w:val="none" w:sz="0" w:space="0" w:color="auto"/>
          </w:divBdr>
        </w:div>
        <w:div w:id="1721589181">
          <w:marLeft w:val="720"/>
          <w:marRight w:val="0"/>
          <w:marTop w:val="0"/>
          <w:marBottom w:val="101"/>
          <w:divBdr>
            <w:top w:val="none" w:sz="0" w:space="0" w:color="auto"/>
            <w:left w:val="none" w:sz="0" w:space="0" w:color="auto"/>
            <w:bottom w:val="none" w:sz="0" w:space="0" w:color="auto"/>
            <w:right w:val="none" w:sz="0" w:space="0" w:color="auto"/>
          </w:divBdr>
        </w:div>
        <w:div w:id="1282229106">
          <w:marLeft w:val="720"/>
          <w:marRight w:val="0"/>
          <w:marTop w:val="0"/>
          <w:marBottom w:val="101"/>
          <w:divBdr>
            <w:top w:val="none" w:sz="0" w:space="0" w:color="auto"/>
            <w:left w:val="none" w:sz="0" w:space="0" w:color="auto"/>
            <w:bottom w:val="none" w:sz="0" w:space="0" w:color="auto"/>
            <w:right w:val="none" w:sz="0" w:space="0" w:color="auto"/>
          </w:divBdr>
        </w:div>
        <w:div w:id="424155355">
          <w:marLeft w:val="720"/>
          <w:marRight w:val="0"/>
          <w:marTop w:val="0"/>
          <w:marBottom w:val="101"/>
          <w:divBdr>
            <w:top w:val="none" w:sz="0" w:space="0" w:color="auto"/>
            <w:left w:val="none" w:sz="0" w:space="0" w:color="auto"/>
            <w:bottom w:val="none" w:sz="0" w:space="0" w:color="auto"/>
            <w:right w:val="none" w:sz="0" w:space="0" w:color="auto"/>
          </w:divBdr>
        </w:div>
        <w:div w:id="514001401">
          <w:marLeft w:val="720"/>
          <w:marRight w:val="0"/>
          <w:marTop w:val="0"/>
          <w:marBottom w:val="101"/>
          <w:divBdr>
            <w:top w:val="none" w:sz="0" w:space="0" w:color="auto"/>
            <w:left w:val="none" w:sz="0" w:space="0" w:color="auto"/>
            <w:bottom w:val="none" w:sz="0" w:space="0" w:color="auto"/>
            <w:right w:val="none" w:sz="0" w:space="0" w:color="auto"/>
          </w:divBdr>
        </w:div>
        <w:div w:id="838349134">
          <w:marLeft w:val="720"/>
          <w:marRight w:val="0"/>
          <w:marTop w:val="0"/>
          <w:marBottom w:val="101"/>
          <w:divBdr>
            <w:top w:val="none" w:sz="0" w:space="0" w:color="auto"/>
            <w:left w:val="none" w:sz="0" w:space="0" w:color="auto"/>
            <w:bottom w:val="none" w:sz="0" w:space="0" w:color="auto"/>
            <w:right w:val="none" w:sz="0" w:space="0" w:color="auto"/>
          </w:divBdr>
        </w:div>
        <w:div w:id="450129507">
          <w:marLeft w:val="720"/>
          <w:marRight w:val="0"/>
          <w:marTop w:val="0"/>
          <w:marBottom w:val="101"/>
          <w:divBdr>
            <w:top w:val="none" w:sz="0" w:space="0" w:color="auto"/>
            <w:left w:val="none" w:sz="0" w:space="0" w:color="auto"/>
            <w:bottom w:val="none" w:sz="0" w:space="0" w:color="auto"/>
            <w:right w:val="none" w:sz="0" w:space="0" w:color="auto"/>
          </w:divBdr>
        </w:div>
        <w:div w:id="42020879">
          <w:marLeft w:val="0"/>
          <w:marRight w:val="0"/>
          <w:marTop w:val="0"/>
          <w:marBottom w:val="101"/>
          <w:divBdr>
            <w:top w:val="none" w:sz="0" w:space="0" w:color="auto"/>
            <w:left w:val="none" w:sz="0" w:space="0" w:color="auto"/>
            <w:bottom w:val="none" w:sz="0" w:space="0" w:color="auto"/>
            <w:right w:val="none" w:sz="0" w:space="0" w:color="auto"/>
          </w:divBdr>
        </w:div>
        <w:div w:id="852452517">
          <w:marLeft w:val="0"/>
          <w:marRight w:val="0"/>
          <w:marTop w:val="0"/>
          <w:marBottom w:val="101"/>
          <w:divBdr>
            <w:top w:val="none" w:sz="0" w:space="0" w:color="auto"/>
            <w:left w:val="none" w:sz="0" w:space="0" w:color="auto"/>
            <w:bottom w:val="none" w:sz="0" w:space="0" w:color="auto"/>
            <w:right w:val="none" w:sz="0" w:space="0" w:color="auto"/>
          </w:divBdr>
        </w:div>
        <w:div w:id="881941732">
          <w:marLeft w:val="0"/>
          <w:marRight w:val="0"/>
          <w:marTop w:val="0"/>
          <w:marBottom w:val="101"/>
          <w:divBdr>
            <w:top w:val="none" w:sz="0" w:space="0" w:color="auto"/>
            <w:left w:val="none" w:sz="0" w:space="0" w:color="auto"/>
            <w:bottom w:val="none" w:sz="0" w:space="0" w:color="auto"/>
            <w:right w:val="none" w:sz="0" w:space="0" w:color="auto"/>
          </w:divBdr>
        </w:div>
        <w:div w:id="1098520677">
          <w:marLeft w:val="0"/>
          <w:marRight w:val="0"/>
          <w:marTop w:val="0"/>
          <w:marBottom w:val="101"/>
          <w:divBdr>
            <w:top w:val="none" w:sz="0" w:space="0" w:color="auto"/>
            <w:left w:val="none" w:sz="0" w:space="0" w:color="auto"/>
            <w:bottom w:val="none" w:sz="0" w:space="0" w:color="auto"/>
            <w:right w:val="none" w:sz="0" w:space="0" w:color="auto"/>
          </w:divBdr>
        </w:div>
        <w:div w:id="1899827711">
          <w:marLeft w:val="0"/>
          <w:marRight w:val="0"/>
          <w:marTop w:val="0"/>
          <w:marBottom w:val="101"/>
          <w:divBdr>
            <w:top w:val="none" w:sz="0" w:space="0" w:color="auto"/>
            <w:left w:val="none" w:sz="0" w:space="0" w:color="auto"/>
            <w:bottom w:val="none" w:sz="0" w:space="0" w:color="auto"/>
            <w:right w:val="none" w:sz="0" w:space="0" w:color="auto"/>
          </w:divBdr>
        </w:div>
        <w:div w:id="1833134388">
          <w:marLeft w:val="0"/>
          <w:marRight w:val="0"/>
          <w:marTop w:val="0"/>
          <w:marBottom w:val="101"/>
          <w:divBdr>
            <w:top w:val="none" w:sz="0" w:space="0" w:color="auto"/>
            <w:left w:val="none" w:sz="0" w:space="0" w:color="auto"/>
            <w:bottom w:val="none" w:sz="0" w:space="0" w:color="auto"/>
            <w:right w:val="none" w:sz="0" w:space="0" w:color="auto"/>
          </w:divBdr>
        </w:div>
        <w:div w:id="88232783">
          <w:marLeft w:val="0"/>
          <w:marRight w:val="0"/>
          <w:marTop w:val="0"/>
          <w:marBottom w:val="101"/>
          <w:divBdr>
            <w:top w:val="none" w:sz="0" w:space="0" w:color="auto"/>
            <w:left w:val="none" w:sz="0" w:space="0" w:color="auto"/>
            <w:bottom w:val="none" w:sz="0" w:space="0" w:color="auto"/>
            <w:right w:val="none" w:sz="0" w:space="0" w:color="auto"/>
          </w:divBdr>
        </w:div>
        <w:div w:id="279072595">
          <w:marLeft w:val="0"/>
          <w:marRight w:val="0"/>
          <w:marTop w:val="0"/>
          <w:marBottom w:val="101"/>
          <w:divBdr>
            <w:top w:val="none" w:sz="0" w:space="0" w:color="auto"/>
            <w:left w:val="none" w:sz="0" w:space="0" w:color="auto"/>
            <w:bottom w:val="none" w:sz="0" w:space="0" w:color="auto"/>
            <w:right w:val="none" w:sz="0" w:space="0" w:color="auto"/>
          </w:divBdr>
        </w:div>
        <w:div w:id="823090311">
          <w:marLeft w:val="720"/>
          <w:marRight w:val="0"/>
          <w:marTop w:val="0"/>
          <w:marBottom w:val="101"/>
          <w:divBdr>
            <w:top w:val="none" w:sz="0" w:space="0" w:color="auto"/>
            <w:left w:val="none" w:sz="0" w:space="0" w:color="auto"/>
            <w:bottom w:val="none" w:sz="0" w:space="0" w:color="auto"/>
            <w:right w:val="none" w:sz="0" w:space="0" w:color="auto"/>
          </w:divBdr>
        </w:div>
        <w:div w:id="1560167194">
          <w:marLeft w:val="720"/>
          <w:marRight w:val="0"/>
          <w:marTop w:val="0"/>
          <w:marBottom w:val="101"/>
          <w:divBdr>
            <w:top w:val="none" w:sz="0" w:space="0" w:color="auto"/>
            <w:left w:val="none" w:sz="0" w:space="0" w:color="auto"/>
            <w:bottom w:val="none" w:sz="0" w:space="0" w:color="auto"/>
            <w:right w:val="none" w:sz="0" w:space="0" w:color="auto"/>
          </w:divBdr>
        </w:div>
        <w:div w:id="1268151041">
          <w:marLeft w:val="720"/>
          <w:marRight w:val="0"/>
          <w:marTop w:val="0"/>
          <w:marBottom w:val="101"/>
          <w:divBdr>
            <w:top w:val="none" w:sz="0" w:space="0" w:color="auto"/>
            <w:left w:val="none" w:sz="0" w:space="0" w:color="auto"/>
            <w:bottom w:val="none" w:sz="0" w:space="0" w:color="auto"/>
            <w:right w:val="none" w:sz="0" w:space="0" w:color="auto"/>
          </w:divBdr>
        </w:div>
        <w:div w:id="657342351">
          <w:marLeft w:val="720"/>
          <w:marRight w:val="0"/>
          <w:marTop w:val="0"/>
          <w:marBottom w:val="101"/>
          <w:divBdr>
            <w:top w:val="none" w:sz="0" w:space="0" w:color="auto"/>
            <w:left w:val="none" w:sz="0" w:space="0" w:color="auto"/>
            <w:bottom w:val="none" w:sz="0" w:space="0" w:color="auto"/>
            <w:right w:val="none" w:sz="0" w:space="0" w:color="auto"/>
          </w:divBdr>
        </w:div>
        <w:div w:id="2126120571">
          <w:marLeft w:val="720"/>
          <w:marRight w:val="0"/>
          <w:marTop w:val="0"/>
          <w:marBottom w:val="101"/>
          <w:divBdr>
            <w:top w:val="none" w:sz="0" w:space="0" w:color="auto"/>
            <w:left w:val="none" w:sz="0" w:space="0" w:color="auto"/>
            <w:bottom w:val="none" w:sz="0" w:space="0" w:color="auto"/>
            <w:right w:val="none" w:sz="0" w:space="0" w:color="auto"/>
          </w:divBdr>
        </w:div>
        <w:div w:id="885681288">
          <w:marLeft w:val="720"/>
          <w:marRight w:val="0"/>
          <w:marTop w:val="0"/>
          <w:marBottom w:val="101"/>
          <w:divBdr>
            <w:top w:val="none" w:sz="0" w:space="0" w:color="auto"/>
            <w:left w:val="none" w:sz="0" w:space="0" w:color="auto"/>
            <w:bottom w:val="none" w:sz="0" w:space="0" w:color="auto"/>
            <w:right w:val="none" w:sz="0" w:space="0" w:color="auto"/>
          </w:divBdr>
        </w:div>
        <w:div w:id="1403601511">
          <w:marLeft w:val="720"/>
          <w:marRight w:val="0"/>
          <w:marTop w:val="0"/>
          <w:marBottom w:val="101"/>
          <w:divBdr>
            <w:top w:val="none" w:sz="0" w:space="0" w:color="auto"/>
            <w:left w:val="none" w:sz="0" w:space="0" w:color="auto"/>
            <w:bottom w:val="none" w:sz="0" w:space="0" w:color="auto"/>
            <w:right w:val="none" w:sz="0" w:space="0" w:color="auto"/>
          </w:divBdr>
        </w:div>
        <w:div w:id="80806461">
          <w:marLeft w:val="720"/>
          <w:marRight w:val="0"/>
          <w:marTop w:val="0"/>
          <w:marBottom w:val="101"/>
          <w:divBdr>
            <w:top w:val="none" w:sz="0" w:space="0" w:color="auto"/>
            <w:left w:val="none" w:sz="0" w:space="0" w:color="auto"/>
            <w:bottom w:val="none" w:sz="0" w:space="0" w:color="auto"/>
            <w:right w:val="none" w:sz="0" w:space="0" w:color="auto"/>
          </w:divBdr>
        </w:div>
        <w:div w:id="1954899430">
          <w:marLeft w:val="720"/>
          <w:marRight w:val="0"/>
          <w:marTop w:val="0"/>
          <w:marBottom w:val="101"/>
          <w:divBdr>
            <w:top w:val="none" w:sz="0" w:space="0" w:color="auto"/>
            <w:left w:val="none" w:sz="0" w:space="0" w:color="auto"/>
            <w:bottom w:val="none" w:sz="0" w:space="0" w:color="auto"/>
            <w:right w:val="none" w:sz="0" w:space="0" w:color="auto"/>
          </w:divBdr>
        </w:div>
        <w:div w:id="1208105960">
          <w:marLeft w:val="720"/>
          <w:marRight w:val="0"/>
          <w:marTop w:val="0"/>
          <w:marBottom w:val="101"/>
          <w:divBdr>
            <w:top w:val="none" w:sz="0" w:space="0" w:color="auto"/>
            <w:left w:val="none" w:sz="0" w:space="0" w:color="auto"/>
            <w:bottom w:val="none" w:sz="0" w:space="0" w:color="auto"/>
            <w:right w:val="none" w:sz="0" w:space="0" w:color="auto"/>
          </w:divBdr>
        </w:div>
        <w:div w:id="1269584373">
          <w:marLeft w:val="720"/>
          <w:marRight w:val="0"/>
          <w:marTop w:val="0"/>
          <w:marBottom w:val="101"/>
          <w:divBdr>
            <w:top w:val="none" w:sz="0" w:space="0" w:color="auto"/>
            <w:left w:val="none" w:sz="0" w:space="0" w:color="auto"/>
            <w:bottom w:val="none" w:sz="0" w:space="0" w:color="auto"/>
            <w:right w:val="none" w:sz="0" w:space="0" w:color="auto"/>
          </w:divBdr>
        </w:div>
        <w:div w:id="1084958267">
          <w:marLeft w:val="720"/>
          <w:marRight w:val="0"/>
          <w:marTop w:val="0"/>
          <w:marBottom w:val="101"/>
          <w:divBdr>
            <w:top w:val="none" w:sz="0" w:space="0" w:color="auto"/>
            <w:left w:val="none" w:sz="0" w:space="0" w:color="auto"/>
            <w:bottom w:val="none" w:sz="0" w:space="0" w:color="auto"/>
            <w:right w:val="none" w:sz="0" w:space="0" w:color="auto"/>
          </w:divBdr>
        </w:div>
        <w:div w:id="978609377">
          <w:marLeft w:val="720"/>
          <w:marRight w:val="0"/>
          <w:marTop w:val="0"/>
          <w:marBottom w:val="101"/>
          <w:divBdr>
            <w:top w:val="none" w:sz="0" w:space="0" w:color="auto"/>
            <w:left w:val="none" w:sz="0" w:space="0" w:color="auto"/>
            <w:bottom w:val="none" w:sz="0" w:space="0" w:color="auto"/>
            <w:right w:val="none" w:sz="0" w:space="0" w:color="auto"/>
          </w:divBdr>
        </w:div>
        <w:div w:id="671834554">
          <w:marLeft w:val="0"/>
          <w:marRight w:val="0"/>
          <w:marTop w:val="0"/>
          <w:marBottom w:val="101"/>
          <w:divBdr>
            <w:top w:val="none" w:sz="0" w:space="0" w:color="auto"/>
            <w:left w:val="none" w:sz="0" w:space="0" w:color="auto"/>
            <w:bottom w:val="none" w:sz="0" w:space="0" w:color="auto"/>
            <w:right w:val="none" w:sz="0" w:space="0" w:color="auto"/>
          </w:divBdr>
        </w:div>
        <w:div w:id="906111760">
          <w:marLeft w:val="720"/>
          <w:marRight w:val="0"/>
          <w:marTop w:val="0"/>
          <w:marBottom w:val="101"/>
          <w:divBdr>
            <w:top w:val="none" w:sz="0" w:space="0" w:color="auto"/>
            <w:left w:val="none" w:sz="0" w:space="0" w:color="auto"/>
            <w:bottom w:val="none" w:sz="0" w:space="0" w:color="auto"/>
            <w:right w:val="none" w:sz="0" w:space="0" w:color="auto"/>
          </w:divBdr>
        </w:div>
        <w:div w:id="548344908">
          <w:marLeft w:val="720"/>
          <w:marRight w:val="0"/>
          <w:marTop w:val="0"/>
          <w:marBottom w:val="101"/>
          <w:divBdr>
            <w:top w:val="none" w:sz="0" w:space="0" w:color="auto"/>
            <w:left w:val="none" w:sz="0" w:space="0" w:color="auto"/>
            <w:bottom w:val="none" w:sz="0" w:space="0" w:color="auto"/>
            <w:right w:val="none" w:sz="0" w:space="0" w:color="auto"/>
          </w:divBdr>
        </w:div>
        <w:div w:id="943852101">
          <w:marLeft w:val="720"/>
          <w:marRight w:val="0"/>
          <w:marTop w:val="0"/>
          <w:marBottom w:val="101"/>
          <w:divBdr>
            <w:top w:val="none" w:sz="0" w:space="0" w:color="auto"/>
            <w:left w:val="none" w:sz="0" w:space="0" w:color="auto"/>
            <w:bottom w:val="none" w:sz="0" w:space="0" w:color="auto"/>
            <w:right w:val="none" w:sz="0" w:space="0" w:color="auto"/>
          </w:divBdr>
        </w:div>
        <w:div w:id="2087875569">
          <w:marLeft w:val="0"/>
          <w:marRight w:val="0"/>
          <w:marTop w:val="0"/>
          <w:marBottom w:val="101"/>
          <w:divBdr>
            <w:top w:val="none" w:sz="0" w:space="0" w:color="auto"/>
            <w:left w:val="none" w:sz="0" w:space="0" w:color="auto"/>
            <w:bottom w:val="none" w:sz="0" w:space="0" w:color="auto"/>
            <w:right w:val="none" w:sz="0" w:space="0" w:color="auto"/>
          </w:divBdr>
        </w:div>
        <w:div w:id="88896014">
          <w:marLeft w:val="0"/>
          <w:marRight w:val="0"/>
          <w:marTop w:val="0"/>
          <w:marBottom w:val="101"/>
          <w:divBdr>
            <w:top w:val="none" w:sz="0" w:space="0" w:color="auto"/>
            <w:left w:val="none" w:sz="0" w:space="0" w:color="auto"/>
            <w:bottom w:val="none" w:sz="0" w:space="0" w:color="auto"/>
            <w:right w:val="none" w:sz="0" w:space="0" w:color="auto"/>
          </w:divBdr>
        </w:div>
        <w:div w:id="868877364">
          <w:marLeft w:val="0"/>
          <w:marRight w:val="0"/>
          <w:marTop w:val="0"/>
          <w:marBottom w:val="101"/>
          <w:divBdr>
            <w:top w:val="none" w:sz="0" w:space="0" w:color="auto"/>
            <w:left w:val="none" w:sz="0" w:space="0" w:color="auto"/>
            <w:bottom w:val="none" w:sz="0" w:space="0" w:color="auto"/>
            <w:right w:val="none" w:sz="0" w:space="0" w:color="auto"/>
          </w:divBdr>
        </w:div>
        <w:div w:id="1027637164">
          <w:marLeft w:val="0"/>
          <w:marRight w:val="0"/>
          <w:marTop w:val="0"/>
          <w:marBottom w:val="101"/>
          <w:divBdr>
            <w:top w:val="none" w:sz="0" w:space="0" w:color="auto"/>
            <w:left w:val="none" w:sz="0" w:space="0" w:color="auto"/>
            <w:bottom w:val="none" w:sz="0" w:space="0" w:color="auto"/>
            <w:right w:val="none" w:sz="0" w:space="0" w:color="auto"/>
          </w:divBdr>
        </w:div>
        <w:div w:id="99956839">
          <w:marLeft w:val="0"/>
          <w:marRight w:val="0"/>
          <w:marTop w:val="0"/>
          <w:marBottom w:val="101"/>
          <w:divBdr>
            <w:top w:val="none" w:sz="0" w:space="0" w:color="auto"/>
            <w:left w:val="none" w:sz="0" w:space="0" w:color="auto"/>
            <w:bottom w:val="none" w:sz="0" w:space="0" w:color="auto"/>
            <w:right w:val="none" w:sz="0" w:space="0" w:color="auto"/>
          </w:divBdr>
        </w:div>
        <w:div w:id="1500847397">
          <w:marLeft w:val="0"/>
          <w:marRight w:val="0"/>
          <w:marTop w:val="0"/>
          <w:marBottom w:val="101"/>
          <w:divBdr>
            <w:top w:val="none" w:sz="0" w:space="0" w:color="auto"/>
            <w:left w:val="none" w:sz="0" w:space="0" w:color="auto"/>
            <w:bottom w:val="none" w:sz="0" w:space="0" w:color="auto"/>
            <w:right w:val="none" w:sz="0" w:space="0" w:color="auto"/>
          </w:divBdr>
        </w:div>
        <w:div w:id="772895107">
          <w:marLeft w:val="0"/>
          <w:marRight w:val="0"/>
          <w:marTop w:val="0"/>
          <w:marBottom w:val="101"/>
          <w:divBdr>
            <w:top w:val="none" w:sz="0" w:space="0" w:color="auto"/>
            <w:left w:val="none" w:sz="0" w:space="0" w:color="auto"/>
            <w:bottom w:val="none" w:sz="0" w:space="0" w:color="auto"/>
            <w:right w:val="none" w:sz="0" w:space="0" w:color="auto"/>
          </w:divBdr>
        </w:div>
        <w:div w:id="1598058659">
          <w:marLeft w:val="0"/>
          <w:marRight w:val="0"/>
          <w:marTop w:val="0"/>
          <w:marBottom w:val="101"/>
          <w:divBdr>
            <w:top w:val="none" w:sz="0" w:space="0" w:color="auto"/>
            <w:left w:val="none" w:sz="0" w:space="0" w:color="auto"/>
            <w:bottom w:val="none" w:sz="0" w:space="0" w:color="auto"/>
            <w:right w:val="none" w:sz="0" w:space="0" w:color="auto"/>
          </w:divBdr>
        </w:div>
        <w:div w:id="1177421176">
          <w:marLeft w:val="0"/>
          <w:marRight w:val="0"/>
          <w:marTop w:val="0"/>
          <w:marBottom w:val="101"/>
          <w:divBdr>
            <w:top w:val="none" w:sz="0" w:space="0" w:color="auto"/>
            <w:left w:val="none" w:sz="0" w:space="0" w:color="auto"/>
            <w:bottom w:val="none" w:sz="0" w:space="0" w:color="auto"/>
            <w:right w:val="none" w:sz="0" w:space="0" w:color="auto"/>
          </w:divBdr>
        </w:div>
        <w:div w:id="1530679874">
          <w:marLeft w:val="0"/>
          <w:marRight w:val="0"/>
          <w:marTop w:val="0"/>
          <w:marBottom w:val="101"/>
          <w:divBdr>
            <w:top w:val="none" w:sz="0" w:space="0" w:color="auto"/>
            <w:left w:val="none" w:sz="0" w:space="0" w:color="auto"/>
            <w:bottom w:val="none" w:sz="0" w:space="0" w:color="auto"/>
            <w:right w:val="none" w:sz="0" w:space="0" w:color="auto"/>
          </w:divBdr>
        </w:div>
        <w:div w:id="1107382380">
          <w:marLeft w:val="0"/>
          <w:marRight w:val="0"/>
          <w:marTop w:val="0"/>
          <w:marBottom w:val="101"/>
          <w:divBdr>
            <w:top w:val="none" w:sz="0" w:space="0" w:color="auto"/>
            <w:left w:val="none" w:sz="0" w:space="0" w:color="auto"/>
            <w:bottom w:val="none" w:sz="0" w:space="0" w:color="auto"/>
            <w:right w:val="none" w:sz="0" w:space="0" w:color="auto"/>
          </w:divBdr>
        </w:div>
        <w:div w:id="1760710466">
          <w:marLeft w:val="0"/>
          <w:marRight w:val="0"/>
          <w:marTop w:val="0"/>
          <w:marBottom w:val="101"/>
          <w:divBdr>
            <w:top w:val="none" w:sz="0" w:space="0" w:color="auto"/>
            <w:left w:val="none" w:sz="0" w:space="0" w:color="auto"/>
            <w:bottom w:val="none" w:sz="0" w:space="0" w:color="auto"/>
            <w:right w:val="none" w:sz="0" w:space="0" w:color="auto"/>
          </w:divBdr>
        </w:div>
        <w:div w:id="1009599162">
          <w:marLeft w:val="0"/>
          <w:marRight w:val="0"/>
          <w:marTop w:val="0"/>
          <w:marBottom w:val="101"/>
          <w:divBdr>
            <w:top w:val="none" w:sz="0" w:space="0" w:color="auto"/>
            <w:left w:val="none" w:sz="0" w:space="0" w:color="auto"/>
            <w:bottom w:val="none" w:sz="0" w:space="0" w:color="auto"/>
            <w:right w:val="none" w:sz="0" w:space="0" w:color="auto"/>
          </w:divBdr>
        </w:div>
        <w:div w:id="1977450181">
          <w:marLeft w:val="0"/>
          <w:marRight w:val="0"/>
          <w:marTop w:val="0"/>
          <w:marBottom w:val="101"/>
          <w:divBdr>
            <w:top w:val="none" w:sz="0" w:space="0" w:color="auto"/>
            <w:left w:val="none" w:sz="0" w:space="0" w:color="auto"/>
            <w:bottom w:val="none" w:sz="0" w:space="0" w:color="auto"/>
            <w:right w:val="none" w:sz="0" w:space="0" w:color="auto"/>
          </w:divBdr>
        </w:div>
        <w:div w:id="1909800810">
          <w:marLeft w:val="0"/>
          <w:marRight w:val="0"/>
          <w:marTop w:val="0"/>
          <w:marBottom w:val="101"/>
          <w:divBdr>
            <w:top w:val="none" w:sz="0" w:space="0" w:color="auto"/>
            <w:left w:val="none" w:sz="0" w:space="0" w:color="auto"/>
            <w:bottom w:val="none" w:sz="0" w:space="0" w:color="auto"/>
            <w:right w:val="none" w:sz="0" w:space="0" w:color="auto"/>
          </w:divBdr>
        </w:div>
        <w:div w:id="1331449424">
          <w:marLeft w:val="0"/>
          <w:marRight w:val="0"/>
          <w:marTop w:val="0"/>
          <w:marBottom w:val="101"/>
          <w:divBdr>
            <w:top w:val="none" w:sz="0" w:space="0" w:color="auto"/>
            <w:left w:val="none" w:sz="0" w:space="0" w:color="auto"/>
            <w:bottom w:val="none" w:sz="0" w:space="0" w:color="auto"/>
            <w:right w:val="none" w:sz="0" w:space="0" w:color="auto"/>
          </w:divBdr>
        </w:div>
        <w:div w:id="1817065999">
          <w:marLeft w:val="0"/>
          <w:marRight w:val="0"/>
          <w:marTop w:val="0"/>
          <w:marBottom w:val="101"/>
          <w:divBdr>
            <w:top w:val="none" w:sz="0" w:space="0" w:color="auto"/>
            <w:left w:val="none" w:sz="0" w:space="0" w:color="auto"/>
            <w:bottom w:val="none" w:sz="0" w:space="0" w:color="auto"/>
            <w:right w:val="none" w:sz="0" w:space="0" w:color="auto"/>
          </w:divBdr>
        </w:div>
        <w:div w:id="1478498790">
          <w:marLeft w:val="0"/>
          <w:marRight w:val="0"/>
          <w:marTop w:val="0"/>
          <w:marBottom w:val="101"/>
          <w:divBdr>
            <w:top w:val="none" w:sz="0" w:space="0" w:color="auto"/>
            <w:left w:val="none" w:sz="0" w:space="0" w:color="auto"/>
            <w:bottom w:val="none" w:sz="0" w:space="0" w:color="auto"/>
            <w:right w:val="none" w:sz="0" w:space="0" w:color="auto"/>
          </w:divBdr>
        </w:div>
        <w:div w:id="175384624">
          <w:marLeft w:val="0"/>
          <w:marRight w:val="0"/>
          <w:marTop w:val="0"/>
          <w:marBottom w:val="101"/>
          <w:divBdr>
            <w:top w:val="none" w:sz="0" w:space="0" w:color="auto"/>
            <w:left w:val="none" w:sz="0" w:space="0" w:color="auto"/>
            <w:bottom w:val="none" w:sz="0" w:space="0" w:color="auto"/>
            <w:right w:val="none" w:sz="0" w:space="0" w:color="auto"/>
          </w:divBdr>
        </w:div>
        <w:div w:id="1135028671">
          <w:marLeft w:val="0"/>
          <w:marRight w:val="0"/>
          <w:marTop w:val="101"/>
          <w:marBottom w:val="101"/>
          <w:divBdr>
            <w:top w:val="none" w:sz="0" w:space="0" w:color="auto"/>
            <w:left w:val="none" w:sz="0" w:space="0" w:color="auto"/>
            <w:bottom w:val="none" w:sz="0" w:space="0" w:color="auto"/>
            <w:right w:val="none" w:sz="0" w:space="0" w:color="auto"/>
          </w:divBdr>
        </w:div>
        <w:div w:id="171528293">
          <w:marLeft w:val="0"/>
          <w:marRight w:val="0"/>
          <w:marTop w:val="0"/>
          <w:marBottom w:val="101"/>
          <w:divBdr>
            <w:top w:val="none" w:sz="0" w:space="0" w:color="auto"/>
            <w:left w:val="none" w:sz="0" w:space="0" w:color="auto"/>
            <w:bottom w:val="none" w:sz="0" w:space="0" w:color="auto"/>
            <w:right w:val="none" w:sz="0" w:space="0" w:color="auto"/>
          </w:divBdr>
        </w:div>
        <w:div w:id="1210844110">
          <w:marLeft w:val="0"/>
          <w:marRight w:val="0"/>
          <w:marTop w:val="0"/>
          <w:marBottom w:val="101"/>
          <w:divBdr>
            <w:top w:val="none" w:sz="0" w:space="0" w:color="auto"/>
            <w:left w:val="none" w:sz="0" w:space="0" w:color="auto"/>
            <w:bottom w:val="single" w:sz="6" w:space="0" w:color="000000"/>
            <w:right w:val="none" w:sz="0" w:space="0" w:color="auto"/>
          </w:divBdr>
        </w:div>
        <w:div w:id="2139833499">
          <w:marLeft w:val="900"/>
          <w:marRight w:val="0"/>
          <w:marTop w:val="0"/>
          <w:marBottom w:val="101"/>
          <w:divBdr>
            <w:top w:val="none" w:sz="0" w:space="0" w:color="auto"/>
            <w:left w:val="none" w:sz="0" w:space="0" w:color="auto"/>
            <w:bottom w:val="none" w:sz="0" w:space="0" w:color="auto"/>
            <w:right w:val="none" w:sz="0" w:space="0" w:color="auto"/>
          </w:divBdr>
        </w:div>
        <w:div w:id="176238809">
          <w:marLeft w:val="900"/>
          <w:marRight w:val="0"/>
          <w:marTop w:val="0"/>
          <w:marBottom w:val="101"/>
          <w:divBdr>
            <w:top w:val="none" w:sz="0" w:space="0" w:color="auto"/>
            <w:left w:val="none" w:sz="0" w:space="0" w:color="auto"/>
            <w:bottom w:val="none" w:sz="0" w:space="0" w:color="auto"/>
            <w:right w:val="none" w:sz="0" w:space="0" w:color="auto"/>
          </w:divBdr>
        </w:div>
        <w:div w:id="2095012949">
          <w:marLeft w:val="900"/>
          <w:marRight w:val="0"/>
          <w:marTop w:val="0"/>
          <w:marBottom w:val="101"/>
          <w:divBdr>
            <w:top w:val="none" w:sz="0" w:space="0" w:color="auto"/>
            <w:left w:val="none" w:sz="0" w:space="0" w:color="auto"/>
            <w:bottom w:val="none" w:sz="0" w:space="0" w:color="auto"/>
            <w:right w:val="none" w:sz="0" w:space="0" w:color="auto"/>
          </w:divBdr>
        </w:div>
        <w:div w:id="1423181253">
          <w:marLeft w:val="900"/>
          <w:marRight w:val="0"/>
          <w:marTop w:val="0"/>
          <w:marBottom w:val="101"/>
          <w:divBdr>
            <w:top w:val="none" w:sz="0" w:space="0" w:color="auto"/>
            <w:left w:val="none" w:sz="0" w:space="0" w:color="auto"/>
            <w:bottom w:val="none" w:sz="0" w:space="0" w:color="auto"/>
            <w:right w:val="none" w:sz="0" w:space="0" w:color="auto"/>
          </w:divBdr>
        </w:div>
        <w:div w:id="1868055183">
          <w:marLeft w:val="900"/>
          <w:marRight w:val="0"/>
          <w:marTop w:val="0"/>
          <w:marBottom w:val="101"/>
          <w:divBdr>
            <w:top w:val="none" w:sz="0" w:space="0" w:color="auto"/>
            <w:left w:val="none" w:sz="0" w:space="0" w:color="auto"/>
            <w:bottom w:val="none" w:sz="0" w:space="0" w:color="auto"/>
            <w:right w:val="none" w:sz="0" w:space="0" w:color="auto"/>
          </w:divBdr>
        </w:div>
        <w:div w:id="2035760785">
          <w:marLeft w:val="900"/>
          <w:marRight w:val="0"/>
          <w:marTop w:val="0"/>
          <w:marBottom w:val="101"/>
          <w:divBdr>
            <w:top w:val="none" w:sz="0" w:space="0" w:color="auto"/>
            <w:left w:val="none" w:sz="0" w:space="0" w:color="auto"/>
            <w:bottom w:val="none" w:sz="0" w:space="0" w:color="auto"/>
            <w:right w:val="none" w:sz="0" w:space="0" w:color="auto"/>
          </w:divBdr>
        </w:div>
        <w:div w:id="1756785489">
          <w:marLeft w:val="900"/>
          <w:marRight w:val="0"/>
          <w:marTop w:val="0"/>
          <w:marBottom w:val="101"/>
          <w:divBdr>
            <w:top w:val="none" w:sz="0" w:space="0" w:color="auto"/>
            <w:left w:val="none" w:sz="0" w:space="0" w:color="auto"/>
            <w:bottom w:val="none" w:sz="0" w:space="0" w:color="auto"/>
            <w:right w:val="none" w:sz="0" w:space="0" w:color="auto"/>
          </w:divBdr>
        </w:div>
        <w:div w:id="448400766">
          <w:marLeft w:val="900"/>
          <w:marRight w:val="0"/>
          <w:marTop w:val="0"/>
          <w:marBottom w:val="101"/>
          <w:divBdr>
            <w:top w:val="none" w:sz="0" w:space="0" w:color="auto"/>
            <w:left w:val="none" w:sz="0" w:space="0" w:color="auto"/>
            <w:bottom w:val="none" w:sz="0" w:space="0" w:color="auto"/>
            <w:right w:val="none" w:sz="0" w:space="0" w:color="auto"/>
          </w:divBdr>
        </w:div>
        <w:div w:id="571549602">
          <w:marLeft w:val="0"/>
          <w:marRight w:val="0"/>
          <w:marTop w:val="0"/>
          <w:marBottom w:val="101"/>
          <w:divBdr>
            <w:top w:val="none" w:sz="0" w:space="0" w:color="auto"/>
            <w:left w:val="none" w:sz="0" w:space="0" w:color="auto"/>
            <w:bottom w:val="none" w:sz="0" w:space="0" w:color="auto"/>
            <w:right w:val="none" w:sz="0" w:space="0" w:color="auto"/>
          </w:divBdr>
        </w:div>
        <w:div w:id="1941909944">
          <w:marLeft w:val="900"/>
          <w:marRight w:val="0"/>
          <w:marTop w:val="0"/>
          <w:marBottom w:val="101"/>
          <w:divBdr>
            <w:top w:val="none" w:sz="0" w:space="0" w:color="auto"/>
            <w:left w:val="none" w:sz="0" w:space="0" w:color="auto"/>
            <w:bottom w:val="none" w:sz="0" w:space="0" w:color="auto"/>
            <w:right w:val="none" w:sz="0" w:space="0" w:color="auto"/>
          </w:divBdr>
        </w:div>
        <w:div w:id="2045982678">
          <w:marLeft w:val="900"/>
          <w:marRight w:val="0"/>
          <w:marTop w:val="0"/>
          <w:marBottom w:val="101"/>
          <w:divBdr>
            <w:top w:val="none" w:sz="0" w:space="0" w:color="auto"/>
            <w:left w:val="none" w:sz="0" w:space="0" w:color="auto"/>
            <w:bottom w:val="none" w:sz="0" w:space="0" w:color="auto"/>
            <w:right w:val="none" w:sz="0" w:space="0" w:color="auto"/>
          </w:divBdr>
        </w:div>
        <w:div w:id="851917979">
          <w:marLeft w:val="900"/>
          <w:marRight w:val="0"/>
          <w:marTop w:val="0"/>
          <w:marBottom w:val="101"/>
          <w:divBdr>
            <w:top w:val="none" w:sz="0" w:space="0" w:color="auto"/>
            <w:left w:val="none" w:sz="0" w:space="0" w:color="auto"/>
            <w:bottom w:val="none" w:sz="0" w:space="0" w:color="auto"/>
            <w:right w:val="none" w:sz="0" w:space="0" w:color="auto"/>
          </w:divBdr>
        </w:div>
        <w:div w:id="519510755">
          <w:marLeft w:val="900"/>
          <w:marRight w:val="0"/>
          <w:marTop w:val="0"/>
          <w:marBottom w:val="101"/>
          <w:divBdr>
            <w:top w:val="none" w:sz="0" w:space="0" w:color="auto"/>
            <w:left w:val="none" w:sz="0" w:space="0" w:color="auto"/>
            <w:bottom w:val="none" w:sz="0" w:space="0" w:color="auto"/>
            <w:right w:val="none" w:sz="0" w:space="0" w:color="auto"/>
          </w:divBdr>
        </w:div>
        <w:div w:id="231737623">
          <w:marLeft w:val="900"/>
          <w:marRight w:val="0"/>
          <w:marTop w:val="0"/>
          <w:marBottom w:val="101"/>
          <w:divBdr>
            <w:top w:val="none" w:sz="0" w:space="0" w:color="auto"/>
            <w:left w:val="none" w:sz="0" w:space="0" w:color="auto"/>
            <w:bottom w:val="none" w:sz="0" w:space="0" w:color="auto"/>
            <w:right w:val="none" w:sz="0" w:space="0" w:color="auto"/>
          </w:divBdr>
        </w:div>
        <w:div w:id="1015767104">
          <w:marLeft w:val="900"/>
          <w:marRight w:val="0"/>
          <w:marTop w:val="0"/>
          <w:marBottom w:val="101"/>
          <w:divBdr>
            <w:top w:val="none" w:sz="0" w:space="0" w:color="auto"/>
            <w:left w:val="none" w:sz="0" w:space="0" w:color="auto"/>
            <w:bottom w:val="none" w:sz="0" w:space="0" w:color="auto"/>
            <w:right w:val="none" w:sz="0" w:space="0" w:color="auto"/>
          </w:divBdr>
        </w:div>
        <w:div w:id="376123231">
          <w:marLeft w:val="900"/>
          <w:marRight w:val="0"/>
          <w:marTop w:val="0"/>
          <w:marBottom w:val="101"/>
          <w:divBdr>
            <w:top w:val="none" w:sz="0" w:space="0" w:color="auto"/>
            <w:left w:val="none" w:sz="0" w:space="0" w:color="auto"/>
            <w:bottom w:val="none" w:sz="0" w:space="0" w:color="auto"/>
            <w:right w:val="none" w:sz="0" w:space="0" w:color="auto"/>
          </w:divBdr>
        </w:div>
        <w:div w:id="1986428828">
          <w:marLeft w:val="907"/>
          <w:marRight w:val="0"/>
          <w:marTop w:val="0"/>
          <w:marBottom w:val="101"/>
          <w:divBdr>
            <w:top w:val="none" w:sz="0" w:space="0" w:color="auto"/>
            <w:left w:val="none" w:sz="0" w:space="0" w:color="auto"/>
            <w:bottom w:val="none" w:sz="0" w:space="0" w:color="auto"/>
            <w:right w:val="none" w:sz="0" w:space="0" w:color="auto"/>
          </w:divBdr>
        </w:div>
        <w:div w:id="727730170">
          <w:marLeft w:val="907"/>
          <w:marRight w:val="0"/>
          <w:marTop w:val="0"/>
          <w:marBottom w:val="101"/>
          <w:divBdr>
            <w:top w:val="none" w:sz="0" w:space="0" w:color="auto"/>
            <w:left w:val="none" w:sz="0" w:space="0" w:color="auto"/>
            <w:bottom w:val="none" w:sz="0" w:space="0" w:color="auto"/>
            <w:right w:val="none" w:sz="0" w:space="0" w:color="auto"/>
          </w:divBdr>
        </w:div>
        <w:div w:id="1672222307">
          <w:marLeft w:val="907"/>
          <w:marRight w:val="0"/>
          <w:marTop w:val="0"/>
          <w:marBottom w:val="101"/>
          <w:divBdr>
            <w:top w:val="none" w:sz="0" w:space="0" w:color="auto"/>
            <w:left w:val="none" w:sz="0" w:space="0" w:color="auto"/>
            <w:bottom w:val="none" w:sz="0" w:space="0" w:color="auto"/>
            <w:right w:val="none" w:sz="0" w:space="0" w:color="auto"/>
          </w:divBdr>
        </w:div>
        <w:div w:id="1860701506">
          <w:marLeft w:val="907"/>
          <w:marRight w:val="0"/>
          <w:marTop w:val="0"/>
          <w:marBottom w:val="101"/>
          <w:divBdr>
            <w:top w:val="none" w:sz="0" w:space="0" w:color="auto"/>
            <w:left w:val="none" w:sz="0" w:space="0" w:color="auto"/>
            <w:bottom w:val="none" w:sz="0" w:space="0" w:color="auto"/>
            <w:right w:val="none" w:sz="0" w:space="0" w:color="auto"/>
          </w:divBdr>
        </w:div>
        <w:div w:id="489252249">
          <w:marLeft w:val="907"/>
          <w:marRight w:val="0"/>
          <w:marTop w:val="0"/>
          <w:marBottom w:val="101"/>
          <w:divBdr>
            <w:top w:val="none" w:sz="0" w:space="0" w:color="auto"/>
            <w:left w:val="none" w:sz="0" w:space="0" w:color="auto"/>
            <w:bottom w:val="none" w:sz="0" w:space="0" w:color="auto"/>
            <w:right w:val="none" w:sz="0" w:space="0" w:color="auto"/>
          </w:divBdr>
        </w:div>
        <w:div w:id="1108161835">
          <w:marLeft w:val="907"/>
          <w:marRight w:val="0"/>
          <w:marTop w:val="0"/>
          <w:marBottom w:val="101"/>
          <w:divBdr>
            <w:top w:val="none" w:sz="0" w:space="0" w:color="auto"/>
            <w:left w:val="none" w:sz="0" w:space="0" w:color="auto"/>
            <w:bottom w:val="none" w:sz="0" w:space="0" w:color="auto"/>
            <w:right w:val="none" w:sz="0" w:space="0" w:color="auto"/>
          </w:divBdr>
        </w:div>
        <w:div w:id="1496531392">
          <w:marLeft w:val="907"/>
          <w:marRight w:val="0"/>
          <w:marTop w:val="0"/>
          <w:marBottom w:val="101"/>
          <w:divBdr>
            <w:top w:val="none" w:sz="0" w:space="0" w:color="auto"/>
            <w:left w:val="none" w:sz="0" w:space="0" w:color="auto"/>
            <w:bottom w:val="none" w:sz="0" w:space="0" w:color="auto"/>
            <w:right w:val="none" w:sz="0" w:space="0" w:color="auto"/>
          </w:divBdr>
        </w:div>
        <w:div w:id="71436198">
          <w:marLeft w:val="907"/>
          <w:marRight w:val="0"/>
          <w:marTop w:val="0"/>
          <w:marBottom w:val="101"/>
          <w:divBdr>
            <w:top w:val="none" w:sz="0" w:space="0" w:color="auto"/>
            <w:left w:val="none" w:sz="0" w:space="0" w:color="auto"/>
            <w:bottom w:val="none" w:sz="0" w:space="0" w:color="auto"/>
            <w:right w:val="none" w:sz="0" w:space="0" w:color="auto"/>
          </w:divBdr>
        </w:div>
        <w:div w:id="1845320090">
          <w:marLeft w:val="907"/>
          <w:marRight w:val="0"/>
          <w:marTop w:val="0"/>
          <w:marBottom w:val="101"/>
          <w:divBdr>
            <w:top w:val="none" w:sz="0" w:space="0" w:color="auto"/>
            <w:left w:val="none" w:sz="0" w:space="0" w:color="auto"/>
            <w:bottom w:val="none" w:sz="0" w:space="0" w:color="auto"/>
            <w:right w:val="none" w:sz="0" w:space="0" w:color="auto"/>
          </w:divBdr>
        </w:div>
        <w:div w:id="188227986">
          <w:marLeft w:val="907"/>
          <w:marRight w:val="0"/>
          <w:marTop w:val="0"/>
          <w:marBottom w:val="101"/>
          <w:divBdr>
            <w:top w:val="none" w:sz="0" w:space="0" w:color="auto"/>
            <w:left w:val="none" w:sz="0" w:space="0" w:color="auto"/>
            <w:bottom w:val="none" w:sz="0" w:space="0" w:color="auto"/>
            <w:right w:val="none" w:sz="0" w:space="0" w:color="auto"/>
          </w:divBdr>
        </w:div>
        <w:div w:id="1815872504">
          <w:marLeft w:val="907"/>
          <w:marRight w:val="0"/>
          <w:marTop w:val="0"/>
          <w:marBottom w:val="101"/>
          <w:divBdr>
            <w:top w:val="none" w:sz="0" w:space="0" w:color="auto"/>
            <w:left w:val="none" w:sz="0" w:space="0" w:color="auto"/>
            <w:bottom w:val="none" w:sz="0" w:space="0" w:color="auto"/>
            <w:right w:val="none" w:sz="0" w:space="0" w:color="auto"/>
          </w:divBdr>
        </w:div>
        <w:div w:id="1219901045">
          <w:marLeft w:val="907"/>
          <w:marRight w:val="0"/>
          <w:marTop w:val="0"/>
          <w:marBottom w:val="101"/>
          <w:divBdr>
            <w:top w:val="none" w:sz="0" w:space="0" w:color="auto"/>
            <w:left w:val="none" w:sz="0" w:space="0" w:color="auto"/>
            <w:bottom w:val="none" w:sz="0" w:space="0" w:color="auto"/>
            <w:right w:val="none" w:sz="0" w:space="0" w:color="auto"/>
          </w:divBdr>
        </w:div>
        <w:div w:id="1036733265">
          <w:marLeft w:val="907"/>
          <w:marRight w:val="0"/>
          <w:marTop w:val="0"/>
          <w:marBottom w:val="101"/>
          <w:divBdr>
            <w:top w:val="none" w:sz="0" w:space="0" w:color="auto"/>
            <w:left w:val="none" w:sz="0" w:space="0" w:color="auto"/>
            <w:bottom w:val="none" w:sz="0" w:space="0" w:color="auto"/>
            <w:right w:val="none" w:sz="0" w:space="0" w:color="auto"/>
          </w:divBdr>
        </w:div>
        <w:div w:id="1949504570">
          <w:marLeft w:val="907"/>
          <w:marRight w:val="0"/>
          <w:marTop w:val="0"/>
          <w:marBottom w:val="101"/>
          <w:divBdr>
            <w:top w:val="none" w:sz="0" w:space="0" w:color="auto"/>
            <w:left w:val="none" w:sz="0" w:space="0" w:color="auto"/>
            <w:bottom w:val="none" w:sz="0" w:space="0" w:color="auto"/>
            <w:right w:val="none" w:sz="0" w:space="0" w:color="auto"/>
          </w:divBdr>
        </w:div>
        <w:div w:id="53623485">
          <w:marLeft w:val="0"/>
          <w:marRight w:val="0"/>
          <w:marTop w:val="0"/>
          <w:marBottom w:val="101"/>
          <w:divBdr>
            <w:top w:val="none" w:sz="0" w:space="0" w:color="auto"/>
            <w:left w:val="none" w:sz="0" w:space="0" w:color="auto"/>
            <w:bottom w:val="none" w:sz="0" w:space="0" w:color="auto"/>
            <w:right w:val="none" w:sz="0" w:space="0" w:color="auto"/>
          </w:divBdr>
        </w:div>
        <w:div w:id="2115444565">
          <w:marLeft w:val="0"/>
          <w:marRight w:val="0"/>
          <w:marTop w:val="0"/>
          <w:marBottom w:val="101"/>
          <w:divBdr>
            <w:top w:val="none" w:sz="0" w:space="0" w:color="auto"/>
            <w:left w:val="none" w:sz="0" w:space="0" w:color="auto"/>
            <w:bottom w:val="single" w:sz="6" w:space="0" w:color="000000"/>
            <w:right w:val="none" w:sz="0" w:space="0" w:color="auto"/>
          </w:divBdr>
        </w:div>
        <w:div w:id="339083276">
          <w:marLeft w:val="900"/>
          <w:marRight w:val="0"/>
          <w:marTop w:val="0"/>
          <w:marBottom w:val="101"/>
          <w:divBdr>
            <w:top w:val="none" w:sz="0" w:space="0" w:color="auto"/>
            <w:left w:val="none" w:sz="0" w:space="0" w:color="auto"/>
            <w:bottom w:val="none" w:sz="0" w:space="0" w:color="auto"/>
            <w:right w:val="none" w:sz="0" w:space="0" w:color="auto"/>
          </w:divBdr>
        </w:div>
        <w:div w:id="1672369863">
          <w:marLeft w:val="900"/>
          <w:marRight w:val="0"/>
          <w:marTop w:val="0"/>
          <w:marBottom w:val="101"/>
          <w:divBdr>
            <w:top w:val="none" w:sz="0" w:space="0" w:color="auto"/>
            <w:left w:val="none" w:sz="0" w:space="0" w:color="auto"/>
            <w:bottom w:val="none" w:sz="0" w:space="0" w:color="auto"/>
            <w:right w:val="none" w:sz="0" w:space="0" w:color="auto"/>
          </w:divBdr>
        </w:div>
        <w:div w:id="1023626101">
          <w:marLeft w:val="900"/>
          <w:marRight w:val="0"/>
          <w:marTop w:val="0"/>
          <w:marBottom w:val="101"/>
          <w:divBdr>
            <w:top w:val="none" w:sz="0" w:space="0" w:color="auto"/>
            <w:left w:val="none" w:sz="0" w:space="0" w:color="auto"/>
            <w:bottom w:val="none" w:sz="0" w:space="0" w:color="auto"/>
            <w:right w:val="none" w:sz="0" w:space="0" w:color="auto"/>
          </w:divBdr>
        </w:div>
        <w:div w:id="1506674599">
          <w:marLeft w:val="900"/>
          <w:marRight w:val="0"/>
          <w:marTop w:val="0"/>
          <w:marBottom w:val="101"/>
          <w:divBdr>
            <w:top w:val="none" w:sz="0" w:space="0" w:color="auto"/>
            <w:left w:val="none" w:sz="0" w:space="0" w:color="auto"/>
            <w:bottom w:val="none" w:sz="0" w:space="0" w:color="auto"/>
            <w:right w:val="none" w:sz="0" w:space="0" w:color="auto"/>
          </w:divBdr>
        </w:div>
        <w:div w:id="614098693">
          <w:marLeft w:val="900"/>
          <w:marRight w:val="0"/>
          <w:marTop w:val="0"/>
          <w:marBottom w:val="101"/>
          <w:divBdr>
            <w:top w:val="none" w:sz="0" w:space="0" w:color="auto"/>
            <w:left w:val="none" w:sz="0" w:space="0" w:color="auto"/>
            <w:bottom w:val="none" w:sz="0" w:space="0" w:color="auto"/>
            <w:right w:val="none" w:sz="0" w:space="0" w:color="auto"/>
          </w:divBdr>
        </w:div>
        <w:div w:id="1082332072">
          <w:marLeft w:val="900"/>
          <w:marRight w:val="0"/>
          <w:marTop w:val="0"/>
          <w:marBottom w:val="101"/>
          <w:divBdr>
            <w:top w:val="none" w:sz="0" w:space="0" w:color="auto"/>
            <w:left w:val="none" w:sz="0" w:space="0" w:color="auto"/>
            <w:bottom w:val="none" w:sz="0" w:space="0" w:color="auto"/>
            <w:right w:val="none" w:sz="0" w:space="0" w:color="auto"/>
          </w:divBdr>
        </w:div>
        <w:div w:id="736438932">
          <w:marLeft w:val="1260"/>
          <w:marRight w:val="0"/>
          <w:marTop w:val="0"/>
          <w:marBottom w:val="101"/>
          <w:divBdr>
            <w:top w:val="none" w:sz="0" w:space="0" w:color="auto"/>
            <w:left w:val="none" w:sz="0" w:space="0" w:color="auto"/>
            <w:bottom w:val="none" w:sz="0" w:space="0" w:color="auto"/>
            <w:right w:val="none" w:sz="0" w:space="0" w:color="auto"/>
          </w:divBdr>
        </w:div>
        <w:div w:id="1920403035">
          <w:marLeft w:val="1260"/>
          <w:marRight w:val="0"/>
          <w:marTop w:val="0"/>
          <w:marBottom w:val="101"/>
          <w:divBdr>
            <w:top w:val="none" w:sz="0" w:space="0" w:color="auto"/>
            <w:left w:val="none" w:sz="0" w:space="0" w:color="auto"/>
            <w:bottom w:val="none" w:sz="0" w:space="0" w:color="auto"/>
            <w:right w:val="none" w:sz="0" w:space="0" w:color="auto"/>
          </w:divBdr>
        </w:div>
        <w:div w:id="1803885703">
          <w:marLeft w:val="1260"/>
          <w:marRight w:val="0"/>
          <w:marTop w:val="0"/>
          <w:marBottom w:val="101"/>
          <w:divBdr>
            <w:top w:val="none" w:sz="0" w:space="0" w:color="auto"/>
            <w:left w:val="none" w:sz="0" w:space="0" w:color="auto"/>
            <w:bottom w:val="none" w:sz="0" w:space="0" w:color="auto"/>
            <w:right w:val="none" w:sz="0" w:space="0" w:color="auto"/>
          </w:divBdr>
        </w:div>
        <w:div w:id="2112698005">
          <w:marLeft w:val="1260"/>
          <w:marRight w:val="0"/>
          <w:marTop w:val="0"/>
          <w:marBottom w:val="101"/>
          <w:divBdr>
            <w:top w:val="none" w:sz="0" w:space="0" w:color="auto"/>
            <w:left w:val="none" w:sz="0" w:space="0" w:color="auto"/>
            <w:bottom w:val="none" w:sz="0" w:space="0" w:color="auto"/>
            <w:right w:val="none" w:sz="0" w:space="0" w:color="auto"/>
          </w:divBdr>
        </w:div>
        <w:div w:id="2825392">
          <w:marLeft w:val="1260"/>
          <w:marRight w:val="0"/>
          <w:marTop w:val="0"/>
          <w:marBottom w:val="101"/>
          <w:divBdr>
            <w:top w:val="none" w:sz="0" w:space="0" w:color="auto"/>
            <w:left w:val="none" w:sz="0" w:space="0" w:color="auto"/>
            <w:bottom w:val="none" w:sz="0" w:space="0" w:color="auto"/>
            <w:right w:val="none" w:sz="0" w:space="0" w:color="auto"/>
          </w:divBdr>
        </w:div>
        <w:div w:id="771635148">
          <w:marLeft w:val="1260"/>
          <w:marRight w:val="0"/>
          <w:marTop w:val="0"/>
          <w:marBottom w:val="101"/>
          <w:divBdr>
            <w:top w:val="none" w:sz="0" w:space="0" w:color="auto"/>
            <w:left w:val="none" w:sz="0" w:space="0" w:color="auto"/>
            <w:bottom w:val="none" w:sz="0" w:space="0" w:color="auto"/>
            <w:right w:val="none" w:sz="0" w:space="0" w:color="auto"/>
          </w:divBdr>
        </w:div>
        <w:div w:id="927079254">
          <w:marLeft w:val="900"/>
          <w:marRight w:val="0"/>
          <w:marTop w:val="0"/>
          <w:marBottom w:val="101"/>
          <w:divBdr>
            <w:top w:val="none" w:sz="0" w:space="0" w:color="auto"/>
            <w:left w:val="none" w:sz="0" w:space="0" w:color="auto"/>
            <w:bottom w:val="none" w:sz="0" w:space="0" w:color="auto"/>
            <w:right w:val="none" w:sz="0" w:space="0" w:color="auto"/>
          </w:divBdr>
        </w:div>
        <w:div w:id="1066607583">
          <w:marLeft w:val="0"/>
          <w:marRight w:val="0"/>
          <w:marTop w:val="0"/>
          <w:marBottom w:val="101"/>
          <w:divBdr>
            <w:top w:val="none" w:sz="0" w:space="0" w:color="auto"/>
            <w:left w:val="none" w:sz="0" w:space="0" w:color="auto"/>
            <w:bottom w:val="none" w:sz="0" w:space="0" w:color="auto"/>
            <w:right w:val="none" w:sz="0" w:space="0" w:color="auto"/>
          </w:divBdr>
        </w:div>
        <w:div w:id="1146625802">
          <w:marLeft w:val="0"/>
          <w:marRight w:val="0"/>
          <w:marTop w:val="0"/>
          <w:marBottom w:val="101"/>
          <w:divBdr>
            <w:top w:val="none" w:sz="0" w:space="0" w:color="auto"/>
            <w:left w:val="none" w:sz="0" w:space="0" w:color="auto"/>
            <w:bottom w:val="none" w:sz="0" w:space="0" w:color="auto"/>
            <w:right w:val="none" w:sz="0" w:space="0" w:color="auto"/>
          </w:divBdr>
        </w:div>
        <w:div w:id="1518275277">
          <w:marLeft w:val="0"/>
          <w:marRight w:val="0"/>
          <w:marTop w:val="0"/>
          <w:marBottom w:val="101"/>
          <w:divBdr>
            <w:top w:val="none" w:sz="0" w:space="0" w:color="auto"/>
            <w:left w:val="none" w:sz="0" w:space="0" w:color="auto"/>
            <w:bottom w:val="none" w:sz="0" w:space="0" w:color="auto"/>
            <w:right w:val="none" w:sz="0" w:space="0" w:color="auto"/>
          </w:divBdr>
        </w:div>
        <w:div w:id="1561743050">
          <w:marLeft w:val="0"/>
          <w:marRight w:val="0"/>
          <w:marTop w:val="0"/>
          <w:marBottom w:val="101"/>
          <w:divBdr>
            <w:top w:val="none" w:sz="0" w:space="0" w:color="auto"/>
            <w:left w:val="none" w:sz="0" w:space="0" w:color="auto"/>
            <w:bottom w:val="none" w:sz="0" w:space="0" w:color="auto"/>
            <w:right w:val="none" w:sz="0" w:space="0" w:color="auto"/>
          </w:divBdr>
        </w:div>
        <w:div w:id="1271165337">
          <w:marLeft w:val="0"/>
          <w:marRight w:val="0"/>
          <w:marTop w:val="0"/>
          <w:marBottom w:val="101"/>
          <w:divBdr>
            <w:top w:val="none" w:sz="0" w:space="0" w:color="auto"/>
            <w:left w:val="none" w:sz="0" w:space="0" w:color="auto"/>
            <w:bottom w:val="none" w:sz="0" w:space="0" w:color="auto"/>
            <w:right w:val="none" w:sz="0" w:space="0" w:color="auto"/>
          </w:divBdr>
        </w:div>
        <w:div w:id="792478228">
          <w:marLeft w:val="0"/>
          <w:marRight w:val="0"/>
          <w:marTop w:val="0"/>
          <w:marBottom w:val="101"/>
          <w:divBdr>
            <w:top w:val="none" w:sz="0" w:space="0" w:color="auto"/>
            <w:left w:val="none" w:sz="0" w:space="0" w:color="auto"/>
            <w:bottom w:val="none" w:sz="0" w:space="0" w:color="auto"/>
            <w:right w:val="none" w:sz="0" w:space="0" w:color="auto"/>
          </w:divBdr>
        </w:div>
        <w:div w:id="204368495">
          <w:marLeft w:val="0"/>
          <w:marRight w:val="0"/>
          <w:marTop w:val="0"/>
          <w:marBottom w:val="101"/>
          <w:divBdr>
            <w:top w:val="none" w:sz="0" w:space="0" w:color="auto"/>
            <w:left w:val="none" w:sz="0" w:space="0" w:color="auto"/>
            <w:bottom w:val="none" w:sz="0" w:space="0" w:color="auto"/>
            <w:right w:val="none" w:sz="0" w:space="0" w:color="auto"/>
          </w:divBdr>
        </w:div>
        <w:div w:id="1347439143">
          <w:marLeft w:val="0"/>
          <w:marRight w:val="0"/>
          <w:marTop w:val="0"/>
          <w:marBottom w:val="101"/>
          <w:divBdr>
            <w:top w:val="none" w:sz="0" w:space="0" w:color="auto"/>
            <w:left w:val="none" w:sz="0" w:space="0" w:color="auto"/>
            <w:bottom w:val="none" w:sz="0" w:space="0" w:color="auto"/>
            <w:right w:val="none" w:sz="0" w:space="0" w:color="auto"/>
          </w:divBdr>
        </w:div>
        <w:div w:id="1536313746">
          <w:marLeft w:val="0"/>
          <w:marRight w:val="0"/>
          <w:marTop w:val="0"/>
          <w:marBottom w:val="101"/>
          <w:divBdr>
            <w:top w:val="none" w:sz="0" w:space="0" w:color="auto"/>
            <w:left w:val="none" w:sz="0" w:space="0" w:color="auto"/>
            <w:bottom w:val="none" w:sz="0" w:space="0" w:color="auto"/>
            <w:right w:val="none" w:sz="0" w:space="0" w:color="auto"/>
          </w:divBdr>
        </w:div>
        <w:div w:id="71973629">
          <w:marLeft w:val="0"/>
          <w:marRight w:val="0"/>
          <w:marTop w:val="0"/>
          <w:marBottom w:val="101"/>
          <w:divBdr>
            <w:top w:val="none" w:sz="0" w:space="0" w:color="auto"/>
            <w:left w:val="none" w:sz="0" w:space="0" w:color="auto"/>
            <w:bottom w:val="none" w:sz="0" w:space="0" w:color="auto"/>
            <w:right w:val="none" w:sz="0" w:space="0" w:color="auto"/>
          </w:divBdr>
        </w:div>
        <w:div w:id="112018316">
          <w:marLeft w:val="0"/>
          <w:marRight w:val="0"/>
          <w:marTop w:val="0"/>
          <w:marBottom w:val="101"/>
          <w:divBdr>
            <w:top w:val="none" w:sz="0" w:space="0" w:color="auto"/>
            <w:left w:val="none" w:sz="0" w:space="0" w:color="auto"/>
            <w:bottom w:val="none" w:sz="0" w:space="0" w:color="auto"/>
            <w:right w:val="none" w:sz="0" w:space="0" w:color="auto"/>
          </w:divBdr>
        </w:div>
        <w:div w:id="1777822172">
          <w:marLeft w:val="0"/>
          <w:marRight w:val="0"/>
          <w:marTop w:val="0"/>
          <w:marBottom w:val="101"/>
          <w:divBdr>
            <w:top w:val="none" w:sz="0" w:space="0" w:color="auto"/>
            <w:left w:val="none" w:sz="0" w:space="0" w:color="auto"/>
            <w:bottom w:val="none" w:sz="0" w:space="0" w:color="auto"/>
            <w:right w:val="none" w:sz="0" w:space="0" w:color="auto"/>
          </w:divBdr>
        </w:div>
        <w:div w:id="1132208800">
          <w:marLeft w:val="0"/>
          <w:marRight w:val="0"/>
          <w:marTop w:val="0"/>
          <w:marBottom w:val="101"/>
          <w:divBdr>
            <w:top w:val="none" w:sz="0" w:space="0" w:color="auto"/>
            <w:left w:val="none" w:sz="0" w:space="0" w:color="auto"/>
            <w:bottom w:val="none" w:sz="0" w:space="0" w:color="auto"/>
            <w:right w:val="none" w:sz="0" w:space="0" w:color="auto"/>
          </w:divBdr>
        </w:div>
        <w:div w:id="1618178744">
          <w:marLeft w:val="0"/>
          <w:marRight w:val="0"/>
          <w:marTop w:val="0"/>
          <w:marBottom w:val="101"/>
          <w:divBdr>
            <w:top w:val="none" w:sz="0" w:space="0" w:color="auto"/>
            <w:left w:val="none" w:sz="0" w:space="0" w:color="auto"/>
            <w:bottom w:val="none" w:sz="0" w:space="0" w:color="auto"/>
            <w:right w:val="none" w:sz="0" w:space="0" w:color="auto"/>
          </w:divBdr>
        </w:div>
        <w:div w:id="671569905">
          <w:marLeft w:val="0"/>
          <w:marRight w:val="0"/>
          <w:marTop w:val="0"/>
          <w:marBottom w:val="101"/>
          <w:divBdr>
            <w:top w:val="none" w:sz="0" w:space="0" w:color="auto"/>
            <w:left w:val="none" w:sz="0" w:space="0" w:color="auto"/>
            <w:bottom w:val="none" w:sz="0" w:space="0" w:color="auto"/>
            <w:right w:val="none" w:sz="0" w:space="0" w:color="auto"/>
          </w:divBdr>
        </w:div>
        <w:div w:id="1201284117">
          <w:marLeft w:val="0"/>
          <w:marRight w:val="0"/>
          <w:marTop w:val="0"/>
          <w:marBottom w:val="101"/>
          <w:divBdr>
            <w:top w:val="none" w:sz="0" w:space="0" w:color="auto"/>
            <w:left w:val="none" w:sz="0" w:space="0" w:color="auto"/>
            <w:bottom w:val="none" w:sz="0" w:space="0" w:color="auto"/>
            <w:right w:val="none" w:sz="0" w:space="0" w:color="auto"/>
          </w:divBdr>
        </w:div>
        <w:div w:id="1003632236">
          <w:marLeft w:val="0"/>
          <w:marRight w:val="0"/>
          <w:marTop w:val="0"/>
          <w:marBottom w:val="101"/>
          <w:divBdr>
            <w:top w:val="none" w:sz="0" w:space="0" w:color="auto"/>
            <w:left w:val="none" w:sz="0" w:space="0" w:color="auto"/>
            <w:bottom w:val="none" w:sz="0" w:space="0" w:color="auto"/>
            <w:right w:val="none" w:sz="0" w:space="0" w:color="auto"/>
          </w:divBdr>
        </w:div>
        <w:div w:id="1510750310">
          <w:marLeft w:val="0"/>
          <w:marRight w:val="0"/>
          <w:marTop w:val="0"/>
          <w:marBottom w:val="101"/>
          <w:divBdr>
            <w:top w:val="none" w:sz="0" w:space="0" w:color="auto"/>
            <w:left w:val="none" w:sz="0" w:space="0" w:color="auto"/>
            <w:bottom w:val="none" w:sz="0" w:space="0" w:color="auto"/>
            <w:right w:val="none" w:sz="0" w:space="0" w:color="auto"/>
          </w:divBdr>
        </w:div>
        <w:div w:id="1231422394">
          <w:marLeft w:val="0"/>
          <w:marRight w:val="0"/>
          <w:marTop w:val="0"/>
          <w:marBottom w:val="101"/>
          <w:divBdr>
            <w:top w:val="none" w:sz="0" w:space="0" w:color="auto"/>
            <w:left w:val="none" w:sz="0" w:space="0" w:color="auto"/>
            <w:bottom w:val="none" w:sz="0" w:space="0" w:color="auto"/>
            <w:right w:val="none" w:sz="0" w:space="0" w:color="auto"/>
          </w:divBdr>
        </w:div>
        <w:div w:id="2107191097">
          <w:marLeft w:val="0"/>
          <w:marRight w:val="0"/>
          <w:marTop w:val="0"/>
          <w:marBottom w:val="101"/>
          <w:divBdr>
            <w:top w:val="none" w:sz="0" w:space="0" w:color="auto"/>
            <w:left w:val="none" w:sz="0" w:space="0" w:color="auto"/>
            <w:bottom w:val="none" w:sz="0" w:space="0" w:color="auto"/>
            <w:right w:val="none" w:sz="0" w:space="0" w:color="auto"/>
          </w:divBdr>
        </w:div>
        <w:div w:id="739136331">
          <w:marLeft w:val="0"/>
          <w:marRight w:val="0"/>
          <w:marTop w:val="0"/>
          <w:marBottom w:val="101"/>
          <w:divBdr>
            <w:top w:val="none" w:sz="0" w:space="0" w:color="auto"/>
            <w:left w:val="none" w:sz="0" w:space="0" w:color="auto"/>
            <w:bottom w:val="none" w:sz="0" w:space="0" w:color="auto"/>
            <w:right w:val="none" w:sz="0" w:space="0" w:color="auto"/>
          </w:divBdr>
        </w:div>
        <w:div w:id="2115009047">
          <w:marLeft w:val="0"/>
          <w:marRight w:val="0"/>
          <w:marTop w:val="0"/>
          <w:marBottom w:val="101"/>
          <w:divBdr>
            <w:top w:val="none" w:sz="0" w:space="0" w:color="auto"/>
            <w:left w:val="none" w:sz="0" w:space="0" w:color="auto"/>
            <w:bottom w:val="none" w:sz="0" w:space="0" w:color="auto"/>
            <w:right w:val="none" w:sz="0" w:space="0" w:color="auto"/>
          </w:divBdr>
        </w:div>
        <w:div w:id="1904755158">
          <w:marLeft w:val="0"/>
          <w:marRight w:val="0"/>
          <w:marTop w:val="0"/>
          <w:marBottom w:val="101"/>
          <w:divBdr>
            <w:top w:val="none" w:sz="0" w:space="0" w:color="auto"/>
            <w:left w:val="none" w:sz="0" w:space="0" w:color="auto"/>
            <w:bottom w:val="none" w:sz="0" w:space="0" w:color="auto"/>
            <w:right w:val="none" w:sz="0" w:space="0" w:color="auto"/>
          </w:divBdr>
        </w:div>
        <w:div w:id="1211191386">
          <w:marLeft w:val="0"/>
          <w:marRight w:val="0"/>
          <w:marTop w:val="0"/>
          <w:marBottom w:val="101"/>
          <w:divBdr>
            <w:top w:val="none" w:sz="0" w:space="0" w:color="auto"/>
            <w:left w:val="none" w:sz="0" w:space="0" w:color="auto"/>
            <w:bottom w:val="none" w:sz="0" w:space="0" w:color="auto"/>
            <w:right w:val="none" w:sz="0" w:space="0" w:color="auto"/>
          </w:divBdr>
        </w:div>
        <w:div w:id="901019423">
          <w:marLeft w:val="0"/>
          <w:marRight w:val="0"/>
          <w:marTop w:val="0"/>
          <w:marBottom w:val="101"/>
          <w:divBdr>
            <w:top w:val="none" w:sz="0" w:space="0" w:color="auto"/>
            <w:left w:val="none" w:sz="0" w:space="0" w:color="auto"/>
            <w:bottom w:val="none" w:sz="0" w:space="0" w:color="auto"/>
            <w:right w:val="none" w:sz="0" w:space="0" w:color="auto"/>
          </w:divBdr>
        </w:div>
        <w:div w:id="157113412">
          <w:marLeft w:val="0"/>
          <w:marRight w:val="0"/>
          <w:marTop w:val="0"/>
          <w:marBottom w:val="101"/>
          <w:divBdr>
            <w:top w:val="none" w:sz="0" w:space="0" w:color="auto"/>
            <w:left w:val="none" w:sz="0" w:space="0" w:color="auto"/>
            <w:bottom w:val="none" w:sz="0" w:space="0" w:color="auto"/>
            <w:right w:val="none" w:sz="0" w:space="0" w:color="auto"/>
          </w:divBdr>
        </w:div>
        <w:div w:id="1352874465">
          <w:marLeft w:val="0"/>
          <w:marRight w:val="0"/>
          <w:marTop w:val="0"/>
          <w:marBottom w:val="101"/>
          <w:divBdr>
            <w:top w:val="none" w:sz="0" w:space="0" w:color="auto"/>
            <w:left w:val="none" w:sz="0" w:space="0" w:color="auto"/>
            <w:bottom w:val="none" w:sz="0" w:space="0" w:color="auto"/>
            <w:right w:val="none" w:sz="0" w:space="0" w:color="auto"/>
          </w:divBdr>
        </w:div>
        <w:div w:id="2043509372">
          <w:marLeft w:val="0"/>
          <w:marRight w:val="0"/>
          <w:marTop w:val="0"/>
          <w:marBottom w:val="101"/>
          <w:divBdr>
            <w:top w:val="none" w:sz="0" w:space="0" w:color="auto"/>
            <w:left w:val="none" w:sz="0" w:space="0" w:color="auto"/>
            <w:bottom w:val="none" w:sz="0" w:space="0" w:color="auto"/>
            <w:right w:val="none" w:sz="0" w:space="0" w:color="auto"/>
          </w:divBdr>
        </w:div>
        <w:div w:id="54083564">
          <w:marLeft w:val="0"/>
          <w:marRight w:val="0"/>
          <w:marTop w:val="0"/>
          <w:marBottom w:val="101"/>
          <w:divBdr>
            <w:top w:val="none" w:sz="0" w:space="0" w:color="auto"/>
            <w:left w:val="none" w:sz="0" w:space="0" w:color="auto"/>
            <w:bottom w:val="none" w:sz="0" w:space="0" w:color="auto"/>
            <w:right w:val="none" w:sz="0" w:space="0" w:color="auto"/>
          </w:divBdr>
        </w:div>
        <w:div w:id="1465343150">
          <w:marLeft w:val="0"/>
          <w:marRight w:val="0"/>
          <w:marTop w:val="0"/>
          <w:marBottom w:val="101"/>
          <w:divBdr>
            <w:top w:val="none" w:sz="0" w:space="0" w:color="auto"/>
            <w:left w:val="none" w:sz="0" w:space="0" w:color="auto"/>
            <w:bottom w:val="none" w:sz="0" w:space="0" w:color="auto"/>
            <w:right w:val="none" w:sz="0" w:space="0" w:color="auto"/>
          </w:divBdr>
        </w:div>
        <w:div w:id="572275201">
          <w:marLeft w:val="0"/>
          <w:marRight w:val="0"/>
          <w:marTop w:val="0"/>
          <w:marBottom w:val="101"/>
          <w:divBdr>
            <w:top w:val="none" w:sz="0" w:space="0" w:color="auto"/>
            <w:left w:val="none" w:sz="0" w:space="0" w:color="auto"/>
            <w:bottom w:val="none" w:sz="0" w:space="0" w:color="auto"/>
            <w:right w:val="none" w:sz="0" w:space="0" w:color="auto"/>
          </w:divBdr>
        </w:div>
        <w:div w:id="1234268561">
          <w:marLeft w:val="0"/>
          <w:marRight w:val="0"/>
          <w:marTop w:val="0"/>
          <w:marBottom w:val="101"/>
          <w:divBdr>
            <w:top w:val="none" w:sz="0" w:space="0" w:color="auto"/>
            <w:left w:val="none" w:sz="0" w:space="0" w:color="auto"/>
            <w:bottom w:val="none" w:sz="0" w:space="0" w:color="auto"/>
            <w:right w:val="none" w:sz="0" w:space="0" w:color="auto"/>
          </w:divBdr>
        </w:div>
        <w:div w:id="1701010057">
          <w:marLeft w:val="0"/>
          <w:marRight w:val="0"/>
          <w:marTop w:val="0"/>
          <w:marBottom w:val="101"/>
          <w:divBdr>
            <w:top w:val="none" w:sz="0" w:space="0" w:color="auto"/>
            <w:left w:val="none" w:sz="0" w:space="0" w:color="auto"/>
            <w:bottom w:val="none" w:sz="0" w:space="0" w:color="auto"/>
            <w:right w:val="none" w:sz="0" w:space="0" w:color="auto"/>
          </w:divBdr>
        </w:div>
        <w:div w:id="1852527820">
          <w:marLeft w:val="0"/>
          <w:marRight w:val="0"/>
          <w:marTop w:val="0"/>
          <w:marBottom w:val="101"/>
          <w:divBdr>
            <w:top w:val="none" w:sz="0" w:space="0" w:color="auto"/>
            <w:left w:val="none" w:sz="0" w:space="0" w:color="auto"/>
            <w:bottom w:val="none" w:sz="0" w:space="0" w:color="auto"/>
            <w:right w:val="none" w:sz="0" w:space="0" w:color="auto"/>
          </w:divBdr>
        </w:div>
        <w:div w:id="1237672255">
          <w:marLeft w:val="0"/>
          <w:marRight w:val="0"/>
          <w:marTop w:val="0"/>
          <w:marBottom w:val="101"/>
          <w:divBdr>
            <w:top w:val="none" w:sz="0" w:space="0" w:color="auto"/>
            <w:left w:val="none" w:sz="0" w:space="0" w:color="auto"/>
            <w:bottom w:val="none" w:sz="0" w:space="0" w:color="auto"/>
            <w:right w:val="none" w:sz="0" w:space="0" w:color="auto"/>
          </w:divBdr>
        </w:div>
        <w:div w:id="1165510478">
          <w:marLeft w:val="0"/>
          <w:marRight w:val="0"/>
          <w:marTop w:val="0"/>
          <w:marBottom w:val="101"/>
          <w:divBdr>
            <w:top w:val="none" w:sz="0" w:space="0" w:color="auto"/>
            <w:left w:val="none" w:sz="0" w:space="0" w:color="auto"/>
            <w:bottom w:val="none" w:sz="0" w:space="0" w:color="auto"/>
            <w:right w:val="none" w:sz="0" w:space="0" w:color="auto"/>
          </w:divBdr>
        </w:div>
        <w:div w:id="615140215">
          <w:marLeft w:val="0"/>
          <w:marRight w:val="0"/>
          <w:marTop w:val="0"/>
          <w:marBottom w:val="101"/>
          <w:divBdr>
            <w:top w:val="none" w:sz="0" w:space="0" w:color="auto"/>
            <w:left w:val="none" w:sz="0" w:space="0" w:color="auto"/>
            <w:bottom w:val="none" w:sz="0" w:space="0" w:color="auto"/>
            <w:right w:val="none" w:sz="0" w:space="0" w:color="auto"/>
          </w:divBdr>
        </w:div>
        <w:div w:id="658580240">
          <w:marLeft w:val="0"/>
          <w:marRight w:val="0"/>
          <w:marTop w:val="0"/>
          <w:marBottom w:val="101"/>
          <w:divBdr>
            <w:top w:val="none" w:sz="0" w:space="0" w:color="auto"/>
            <w:left w:val="none" w:sz="0" w:space="0" w:color="auto"/>
            <w:bottom w:val="none" w:sz="0" w:space="0" w:color="auto"/>
            <w:right w:val="none" w:sz="0" w:space="0" w:color="auto"/>
          </w:divBdr>
        </w:div>
        <w:div w:id="1014838490">
          <w:marLeft w:val="0"/>
          <w:marRight w:val="0"/>
          <w:marTop w:val="0"/>
          <w:marBottom w:val="101"/>
          <w:divBdr>
            <w:top w:val="none" w:sz="0" w:space="0" w:color="auto"/>
            <w:left w:val="none" w:sz="0" w:space="0" w:color="auto"/>
            <w:bottom w:val="none" w:sz="0" w:space="0" w:color="auto"/>
            <w:right w:val="none" w:sz="0" w:space="0" w:color="auto"/>
          </w:divBdr>
        </w:div>
        <w:div w:id="681055118">
          <w:marLeft w:val="0"/>
          <w:marRight w:val="0"/>
          <w:marTop w:val="0"/>
          <w:marBottom w:val="101"/>
          <w:divBdr>
            <w:top w:val="none" w:sz="0" w:space="0" w:color="auto"/>
            <w:left w:val="none" w:sz="0" w:space="0" w:color="auto"/>
            <w:bottom w:val="none" w:sz="0" w:space="0" w:color="auto"/>
            <w:right w:val="none" w:sz="0" w:space="0" w:color="auto"/>
          </w:divBdr>
        </w:div>
        <w:div w:id="818035891">
          <w:marLeft w:val="0"/>
          <w:marRight w:val="0"/>
          <w:marTop w:val="0"/>
          <w:marBottom w:val="101"/>
          <w:divBdr>
            <w:top w:val="none" w:sz="0" w:space="0" w:color="auto"/>
            <w:left w:val="none" w:sz="0" w:space="0" w:color="auto"/>
            <w:bottom w:val="none" w:sz="0" w:space="0" w:color="auto"/>
            <w:right w:val="none" w:sz="0" w:space="0" w:color="auto"/>
          </w:divBdr>
        </w:div>
        <w:div w:id="1183209140">
          <w:marLeft w:val="0"/>
          <w:marRight w:val="0"/>
          <w:marTop w:val="0"/>
          <w:marBottom w:val="101"/>
          <w:divBdr>
            <w:top w:val="none" w:sz="0" w:space="0" w:color="auto"/>
            <w:left w:val="none" w:sz="0" w:space="0" w:color="auto"/>
            <w:bottom w:val="none" w:sz="0" w:space="0" w:color="auto"/>
            <w:right w:val="none" w:sz="0" w:space="0" w:color="auto"/>
          </w:divBdr>
        </w:div>
        <w:div w:id="1401446093">
          <w:marLeft w:val="0"/>
          <w:marRight w:val="0"/>
          <w:marTop w:val="0"/>
          <w:marBottom w:val="101"/>
          <w:divBdr>
            <w:top w:val="none" w:sz="0" w:space="0" w:color="auto"/>
            <w:left w:val="none" w:sz="0" w:space="0" w:color="auto"/>
            <w:bottom w:val="none" w:sz="0" w:space="0" w:color="auto"/>
            <w:right w:val="none" w:sz="0" w:space="0" w:color="auto"/>
          </w:divBdr>
        </w:div>
        <w:div w:id="2129006406">
          <w:marLeft w:val="0"/>
          <w:marRight w:val="0"/>
          <w:marTop w:val="0"/>
          <w:marBottom w:val="101"/>
          <w:divBdr>
            <w:top w:val="none" w:sz="0" w:space="0" w:color="auto"/>
            <w:left w:val="none" w:sz="0" w:space="0" w:color="auto"/>
            <w:bottom w:val="none" w:sz="0" w:space="0" w:color="auto"/>
            <w:right w:val="none" w:sz="0" w:space="0" w:color="auto"/>
          </w:divBdr>
        </w:div>
        <w:div w:id="2136488440">
          <w:marLeft w:val="0"/>
          <w:marRight w:val="0"/>
          <w:marTop w:val="0"/>
          <w:marBottom w:val="101"/>
          <w:divBdr>
            <w:top w:val="none" w:sz="0" w:space="0" w:color="auto"/>
            <w:left w:val="none" w:sz="0" w:space="0" w:color="auto"/>
            <w:bottom w:val="none" w:sz="0" w:space="0" w:color="auto"/>
            <w:right w:val="none" w:sz="0" w:space="0" w:color="auto"/>
          </w:divBdr>
        </w:div>
        <w:div w:id="1961253619">
          <w:marLeft w:val="0"/>
          <w:marRight w:val="0"/>
          <w:marTop w:val="0"/>
          <w:marBottom w:val="101"/>
          <w:divBdr>
            <w:top w:val="none" w:sz="0" w:space="0" w:color="auto"/>
            <w:left w:val="none" w:sz="0" w:space="0" w:color="auto"/>
            <w:bottom w:val="none" w:sz="0" w:space="0" w:color="auto"/>
            <w:right w:val="none" w:sz="0" w:space="0" w:color="auto"/>
          </w:divBdr>
        </w:div>
        <w:div w:id="1243179891">
          <w:marLeft w:val="0"/>
          <w:marRight w:val="0"/>
          <w:marTop w:val="0"/>
          <w:marBottom w:val="101"/>
          <w:divBdr>
            <w:top w:val="none" w:sz="0" w:space="0" w:color="auto"/>
            <w:left w:val="none" w:sz="0" w:space="0" w:color="auto"/>
            <w:bottom w:val="none" w:sz="0" w:space="0" w:color="auto"/>
            <w:right w:val="none" w:sz="0" w:space="0" w:color="auto"/>
          </w:divBdr>
        </w:div>
        <w:div w:id="952325895">
          <w:marLeft w:val="0"/>
          <w:marRight w:val="0"/>
          <w:marTop w:val="0"/>
          <w:marBottom w:val="101"/>
          <w:divBdr>
            <w:top w:val="none" w:sz="0" w:space="0" w:color="auto"/>
            <w:left w:val="none" w:sz="0" w:space="0" w:color="auto"/>
            <w:bottom w:val="none" w:sz="0" w:space="0" w:color="auto"/>
            <w:right w:val="none" w:sz="0" w:space="0" w:color="auto"/>
          </w:divBdr>
        </w:div>
        <w:div w:id="1818181833">
          <w:marLeft w:val="900"/>
          <w:marRight w:val="0"/>
          <w:marTop w:val="0"/>
          <w:marBottom w:val="101"/>
          <w:divBdr>
            <w:top w:val="none" w:sz="0" w:space="0" w:color="auto"/>
            <w:left w:val="none" w:sz="0" w:space="0" w:color="auto"/>
            <w:bottom w:val="none" w:sz="0" w:space="0" w:color="auto"/>
            <w:right w:val="none" w:sz="0" w:space="0" w:color="auto"/>
          </w:divBdr>
        </w:div>
        <w:div w:id="24142991">
          <w:marLeft w:val="900"/>
          <w:marRight w:val="0"/>
          <w:marTop w:val="0"/>
          <w:marBottom w:val="101"/>
          <w:divBdr>
            <w:top w:val="none" w:sz="0" w:space="0" w:color="auto"/>
            <w:left w:val="none" w:sz="0" w:space="0" w:color="auto"/>
            <w:bottom w:val="none" w:sz="0" w:space="0" w:color="auto"/>
            <w:right w:val="none" w:sz="0" w:space="0" w:color="auto"/>
          </w:divBdr>
        </w:div>
        <w:div w:id="2058356606">
          <w:marLeft w:val="900"/>
          <w:marRight w:val="0"/>
          <w:marTop w:val="0"/>
          <w:marBottom w:val="101"/>
          <w:divBdr>
            <w:top w:val="none" w:sz="0" w:space="0" w:color="auto"/>
            <w:left w:val="none" w:sz="0" w:space="0" w:color="auto"/>
            <w:bottom w:val="none" w:sz="0" w:space="0" w:color="auto"/>
            <w:right w:val="none" w:sz="0" w:space="0" w:color="auto"/>
          </w:divBdr>
        </w:div>
        <w:div w:id="1771076209">
          <w:marLeft w:val="900"/>
          <w:marRight w:val="0"/>
          <w:marTop w:val="0"/>
          <w:marBottom w:val="101"/>
          <w:divBdr>
            <w:top w:val="none" w:sz="0" w:space="0" w:color="auto"/>
            <w:left w:val="none" w:sz="0" w:space="0" w:color="auto"/>
            <w:bottom w:val="none" w:sz="0" w:space="0" w:color="auto"/>
            <w:right w:val="none" w:sz="0" w:space="0" w:color="auto"/>
          </w:divBdr>
        </w:div>
        <w:div w:id="2147117434">
          <w:marLeft w:val="900"/>
          <w:marRight w:val="0"/>
          <w:marTop w:val="0"/>
          <w:marBottom w:val="101"/>
          <w:divBdr>
            <w:top w:val="none" w:sz="0" w:space="0" w:color="auto"/>
            <w:left w:val="none" w:sz="0" w:space="0" w:color="auto"/>
            <w:bottom w:val="none" w:sz="0" w:space="0" w:color="auto"/>
            <w:right w:val="none" w:sz="0" w:space="0" w:color="auto"/>
          </w:divBdr>
        </w:div>
        <w:div w:id="272633097">
          <w:marLeft w:val="900"/>
          <w:marRight w:val="0"/>
          <w:marTop w:val="0"/>
          <w:marBottom w:val="101"/>
          <w:divBdr>
            <w:top w:val="none" w:sz="0" w:space="0" w:color="auto"/>
            <w:left w:val="none" w:sz="0" w:space="0" w:color="auto"/>
            <w:bottom w:val="none" w:sz="0" w:space="0" w:color="auto"/>
            <w:right w:val="none" w:sz="0" w:space="0" w:color="auto"/>
          </w:divBdr>
        </w:div>
        <w:div w:id="308174415">
          <w:marLeft w:val="900"/>
          <w:marRight w:val="0"/>
          <w:marTop w:val="0"/>
          <w:marBottom w:val="101"/>
          <w:divBdr>
            <w:top w:val="none" w:sz="0" w:space="0" w:color="auto"/>
            <w:left w:val="none" w:sz="0" w:space="0" w:color="auto"/>
            <w:bottom w:val="none" w:sz="0" w:space="0" w:color="auto"/>
            <w:right w:val="none" w:sz="0" w:space="0" w:color="auto"/>
          </w:divBdr>
        </w:div>
        <w:div w:id="817308274">
          <w:marLeft w:val="900"/>
          <w:marRight w:val="0"/>
          <w:marTop w:val="0"/>
          <w:marBottom w:val="101"/>
          <w:divBdr>
            <w:top w:val="none" w:sz="0" w:space="0" w:color="auto"/>
            <w:left w:val="none" w:sz="0" w:space="0" w:color="auto"/>
            <w:bottom w:val="none" w:sz="0" w:space="0" w:color="auto"/>
            <w:right w:val="none" w:sz="0" w:space="0" w:color="auto"/>
          </w:divBdr>
        </w:div>
        <w:div w:id="76486805">
          <w:marLeft w:val="0"/>
          <w:marRight w:val="0"/>
          <w:marTop w:val="18"/>
          <w:marBottom w:val="101"/>
          <w:divBdr>
            <w:top w:val="none" w:sz="0" w:space="0" w:color="auto"/>
            <w:left w:val="none" w:sz="0" w:space="0" w:color="auto"/>
            <w:bottom w:val="none" w:sz="0" w:space="0" w:color="auto"/>
            <w:right w:val="none" w:sz="0" w:space="0" w:color="auto"/>
          </w:divBdr>
        </w:div>
        <w:div w:id="545876602">
          <w:marLeft w:val="0"/>
          <w:marRight w:val="0"/>
          <w:marTop w:val="18"/>
          <w:marBottom w:val="101"/>
          <w:divBdr>
            <w:top w:val="none" w:sz="0" w:space="0" w:color="auto"/>
            <w:left w:val="none" w:sz="0" w:space="0" w:color="auto"/>
            <w:bottom w:val="none" w:sz="0" w:space="0" w:color="auto"/>
            <w:right w:val="none" w:sz="0" w:space="0" w:color="auto"/>
          </w:divBdr>
        </w:div>
        <w:div w:id="1859461910">
          <w:marLeft w:val="0"/>
          <w:marRight w:val="0"/>
          <w:marTop w:val="18"/>
          <w:marBottom w:val="101"/>
          <w:divBdr>
            <w:top w:val="none" w:sz="0" w:space="0" w:color="auto"/>
            <w:left w:val="none" w:sz="0" w:space="0" w:color="auto"/>
            <w:bottom w:val="none" w:sz="0" w:space="0" w:color="auto"/>
            <w:right w:val="none" w:sz="0" w:space="0" w:color="auto"/>
          </w:divBdr>
        </w:div>
        <w:div w:id="351535321">
          <w:marLeft w:val="0"/>
          <w:marRight w:val="0"/>
          <w:marTop w:val="18"/>
          <w:marBottom w:val="101"/>
          <w:divBdr>
            <w:top w:val="none" w:sz="0" w:space="0" w:color="auto"/>
            <w:left w:val="none" w:sz="0" w:space="0" w:color="auto"/>
            <w:bottom w:val="none" w:sz="0" w:space="0" w:color="auto"/>
            <w:right w:val="none" w:sz="0" w:space="0" w:color="auto"/>
          </w:divBdr>
        </w:div>
        <w:div w:id="40718512">
          <w:marLeft w:val="0"/>
          <w:marRight w:val="0"/>
          <w:marTop w:val="18"/>
          <w:marBottom w:val="101"/>
          <w:divBdr>
            <w:top w:val="none" w:sz="0" w:space="0" w:color="auto"/>
            <w:left w:val="none" w:sz="0" w:space="0" w:color="auto"/>
            <w:bottom w:val="none" w:sz="0" w:space="0" w:color="auto"/>
            <w:right w:val="none" w:sz="0" w:space="0" w:color="auto"/>
          </w:divBdr>
        </w:div>
        <w:div w:id="430244403">
          <w:marLeft w:val="0"/>
          <w:marRight w:val="0"/>
          <w:marTop w:val="18"/>
          <w:marBottom w:val="101"/>
          <w:divBdr>
            <w:top w:val="none" w:sz="0" w:space="0" w:color="auto"/>
            <w:left w:val="none" w:sz="0" w:space="0" w:color="auto"/>
            <w:bottom w:val="none" w:sz="0" w:space="0" w:color="auto"/>
            <w:right w:val="none" w:sz="0" w:space="0" w:color="auto"/>
          </w:divBdr>
        </w:div>
        <w:div w:id="1597052111">
          <w:marLeft w:val="0"/>
          <w:marRight w:val="0"/>
          <w:marTop w:val="18"/>
          <w:marBottom w:val="101"/>
          <w:divBdr>
            <w:top w:val="none" w:sz="0" w:space="0" w:color="auto"/>
            <w:left w:val="none" w:sz="0" w:space="0" w:color="auto"/>
            <w:bottom w:val="none" w:sz="0" w:space="0" w:color="auto"/>
            <w:right w:val="none" w:sz="0" w:space="0" w:color="auto"/>
          </w:divBdr>
        </w:div>
        <w:div w:id="1645501469">
          <w:marLeft w:val="0"/>
          <w:marRight w:val="0"/>
          <w:marTop w:val="18"/>
          <w:marBottom w:val="101"/>
          <w:divBdr>
            <w:top w:val="none" w:sz="0" w:space="0" w:color="auto"/>
            <w:left w:val="none" w:sz="0" w:space="0" w:color="auto"/>
            <w:bottom w:val="none" w:sz="0" w:space="0" w:color="auto"/>
            <w:right w:val="none" w:sz="0" w:space="0" w:color="auto"/>
          </w:divBdr>
        </w:div>
        <w:div w:id="1909799141">
          <w:marLeft w:val="0"/>
          <w:marRight w:val="0"/>
          <w:marTop w:val="18"/>
          <w:marBottom w:val="101"/>
          <w:divBdr>
            <w:top w:val="none" w:sz="0" w:space="0" w:color="auto"/>
            <w:left w:val="none" w:sz="0" w:space="0" w:color="auto"/>
            <w:bottom w:val="none" w:sz="0" w:space="0" w:color="auto"/>
            <w:right w:val="none" w:sz="0" w:space="0" w:color="auto"/>
          </w:divBdr>
        </w:div>
        <w:div w:id="857351118">
          <w:marLeft w:val="0"/>
          <w:marRight w:val="0"/>
          <w:marTop w:val="18"/>
          <w:marBottom w:val="101"/>
          <w:divBdr>
            <w:top w:val="none" w:sz="0" w:space="0" w:color="auto"/>
            <w:left w:val="none" w:sz="0" w:space="0" w:color="auto"/>
            <w:bottom w:val="none" w:sz="0" w:space="0" w:color="auto"/>
            <w:right w:val="none" w:sz="0" w:space="0" w:color="auto"/>
          </w:divBdr>
        </w:div>
        <w:div w:id="502739797">
          <w:marLeft w:val="0"/>
          <w:marRight w:val="0"/>
          <w:marTop w:val="18"/>
          <w:marBottom w:val="101"/>
          <w:divBdr>
            <w:top w:val="none" w:sz="0" w:space="0" w:color="auto"/>
            <w:left w:val="none" w:sz="0" w:space="0" w:color="auto"/>
            <w:bottom w:val="none" w:sz="0" w:space="0" w:color="auto"/>
            <w:right w:val="none" w:sz="0" w:space="0" w:color="auto"/>
          </w:divBdr>
        </w:div>
        <w:div w:id="1799832670">
          <w:marLeft w:val="0"/>
          <w:marRight w:val="0"/>
          <w:marTop w:val="0"/>
          <w:marBottom w:val="101"/>
          <w:divBdr>
            <w:top w:val="none" w:sz="0" w:space="0" w:color="auto"/>
            <w:left w:val="none" w:sz="0" w:space="0" w:color="auto"/>
            <w:bottom w:val="none" w:sz="0" w:space="0" w:color="auto"/>
            <w:right w:val="none" w:sz="0" w:space="0" w:color="auto"/>
          </w:divBdr>
        </w:div>
        <w:div w:id="1530682970">
          <w:marLeft w:val="900"/>
          <w:marRight w:val="0"/>
          <w:marTop w:val="0"/>
          <w:marBottom w:val="101"/>
          <w:divBdr>
            <w:top w:val="none" w:sz="0" w:space="0" w:color="auto"/>
            <w:left w:val="none" w:sz="0" w:space="0" w:color="auto"/>
            <w:bottom w:val="none" w:sz="0" w:space="0" w:color="auto"/>
            <w:right w:val="none" w:sz="0" w:space="0" w:color="auto"/>
          </w:divBdr>
        </w:div>
        <w:div w:id="1148325779">
          <w:marLeft w:val="900"/>
          <w:marRight w:val="0"/>
          <w:marTop w:val="0"/>
          <w:marBottom w:val="101"/>
          <w:divBdr>
            <w:top w:val="none" w:sz="0" w:space="0" w:color="auto"/>
            <w:left w:val="none" w:sz="0" w:space="0" w:color="auto"/>
            <w:bottom w:val="none" w:sz="0" w:space="0" w:color="auto"/>
            <w:right w:val="none" w:sz="0" w:space="0" w:color="auto"/>
          </w:divBdr>
        </w:div>
        <w:div w:id="2083520613">
          <w:marLeft w:val="900"/>
          <w:marRight w:val="0"/>
          <w:marTop w:val="0"/>
          <w:marBottom w:val="101"/>
          <w:divBdr>
            <w:top w:val="none" w:sz="0" w:space="0" w:color="auto"/>
            <w:left w:val="none" w:sz="0" w:space="0" w:color="auto"/>
            <w:bottom w:val="none" w:sz="0" w:space="0" w:color="auto"/>
            <w:right w:val="none" w:sz="0" w:space="0" w:color="auto"/>
          </w:divBdr>
        </w:div>
        <w:div w:id="427849113">
          <w:marLeft w:val="0"/>
          <w:marRight w:val="0"/>
          <w:marTop w:val="20"/>
          <w:marBottom w:val="101"/>
          <w:divBdr>
            <w:top w:val="none" w:sz="0" w:space="0" w:color="auto"/>
            <w:left w:val="none" w:sz="0" w:space="0" w:color="auto"/>
            <w:bottom w:val="none" w:sz="0" w:space="0" w:color="auto"/>
            <w:right w:val="none" w:sz="0" w:space="0" w:color="auto"/>
          </w:divBdr>
        </w:div>
        <w:div w:id="393621608">
          <w:marLeft w:val="0"/>
          <w:marRight w:val="0"/>
          <w:marTop w:val="20"/>
          <w:marBottom w:val="101"/>
          <w:divBdr>
            <w:top w:val="none" w:sz="0" w:space="0" w:color="auto"/>
            <w:left w:val="none" w:sz="0" w:space="0" w:color="auto"/>
            <w:bottom w:val="none" w:sz="0" w:space="0" w:color="auto"/>
            <w:right w:val="none" w:sz="0" w:space="0" w:color="auto"/>
          </w:divBdr>
        </w:div>
        <w:div w:id="617682268">
          <w:marLeft w:val="0"/>
          <w:marRight w:val="0"/>
          <w:marTop w:val="20"/>
          <w:marBottom w:val="101"/>
          <w:divBdr>
            <w:top w:val="none" w:sz="0" w:space="0" w:color="auto"/>
            <w:left w:val="none" w:sz="0" w:space="0" w:color="auto"/>
            <w:bottom w:val="none" w:sz="0" w:space="0" w:color="auto"/>
            <w:right w:val="none" w:sz="0" w:space="0" w:color="auto"/>
          </w:divBdr>
        </w:div>
        <w:div w:id="127625944">
          <w:marLeft w:val="0"/>
          <w:marRight w:val="0"/>
          <w:marTop w:val="20"/>
          <w:marBottom w:val="101"/>
          <w:divBdr>
            <w:top w:val="none" w:sz="0" w:space="0" w:color="auto"/>
            <w:left w:val="none" w:sz="0" w:space="0" w:color="auto"/>
            <w:bottom w:val="none" w:sz="0" w:space="0" w:color="auto"/>
            <w:right w:val="none" w:sz="0" w:space="0" w:color="auto"/>
          </w:divBdr>
        </w:div>
        <w:div w:id="164706218">
          <w:marLeft w:val="0"/>
          <w:marRight w:val="0"/>
          <w:marTop w:val="20"/>
          <w:marBottom w:val="101"/>
          <w:divBdr>
            <w:top w:val="none" w:sz="0" w:space="0" w:color="auto"/>
            <w:left w:val="none" w:sz="0" w:space="0" w:color="auto"/>
            <w:bottom w:val="none" w:sz="0" w:space="0" w:color="auto"/>
            <w:right w:val="none" w:sz="0" w:space="0" w:color="auto"/>
          </w:divBdr>
        </w:div>
        <w:div w:id="787726">
          <w:marLeft w:val="0"/>
          <w:marRight w:val="0"/>
          <w:marTop w:val="20"/>
          <w:marBottom w:val="101"/>
          <w:divBdr>
            <w:top w:val="none" w:sz="0" w:space="0" w:color="auto"/>
            <w:left w:val="none" w:sz="0" w:space="0" w:color="auto"/>
            <w:bottom w:val="none" w:sz="0" w:space="0" w:color="auto"/>
            <w:right w:val="none" w:sz="0" w:space="0" w:color="auto"/>
          </w:divBdr>
        </w:div>
        <w:div w:id="1722515336">
          <w:marLeft w:val="0"/>
          <w:marRight w:val="0"/>
          <w:marTop w:val="20"/>
          <w:marBottom w:val="101"/>
          <w:divBdr>
            <w:top w:val="none" w:sz="0" w:space="0" w:color="auto"/>
            <w:left w:val="none" w:sz="0" w:space="0" w:color="auto"/>
            <w:bottom w:val="none" w:sz="0" w:space="0" w:color="auto"/>
            <w:right w:val="none" w:sz="0" w:space="0" w:color="auto"/>
          </w:divBdr>
        </w:div>
        <w:div w:id="1141533714">
          <w:marLeft w:val="0"/>
          <w:marRight w:val="0"/>
          <w:marTop w:val="20"/>
          <w:marBottom w:val="101"/>
          <w:divBdr>
            <w:top w:val="none" w:sz="0" w:space="0" w:color="auto"/>
            <w:left w:val="none" w:sz="0" w:space="0" w:color="auto"/>
            <w:bottom w:val="none" w:sz="0" w:space="0" w:color="auto"/>
            <w:right w:val="none" w:sz="0" w:space="0" w:color="auto"/>
          </w:divBdr>
        </w:div>
        <w:div w:id="623930327">
          <w:marLeft w:val="0"/>
          <w:marRight w:val="0"/>
          <w:marTop w:val="20"/>
          <w:marBottom w:val="101"/>
          <w:divBdr>
            <w:top w:val="none" w:sz="0" w:space="0" w:color="auto"/>
            <w:left w:val="none" w:sz="0" w:space="0" w:color="auto"/>
            <w:bottom w:val="none" w:sz="0" w:space="0" w:color="auto"/>
            <w:right w:val="none" w:sz="0" w:space="0" w:color="auto"/>
          </w:divBdr>
        </w:div>
        <w:div w:id="1160732974">
          <w:marLeft w:val="0"/>
          <w:marRight w:val="0"/>
          <w:marTop w:val="20"/>
          <w:marBottom w:val="101"/>
          <w:divBdr>
            <w:top w:val="none" w:sz="0" w:space="0" w:color="auto"/>
            <w:left w:val="none" w:sz="0" w:space="0" w:color="auto"/>
            <w:bottom w:val="none" w:sz="0" w:space="0" w:color="auto"/>
            <w:right w:val="none" w:sz="0" w:space="0" w:color="auto"/>
          </w:divBdr>
        </w:div>
        <w:div w:id="1034308351">
          <w:marLeft w:val="0"/>
          <w:marRight w:val="0"/>
          <w:marTop w:val="20"/>
          <w:marBottom w:val="101"/>
          <w:divBdr>
            <w:top w:val="none" w:sz="0" w:space="0" w:color="auto"/>
            <w:left w:val="none" w:sz="0" w:space="0" w:color="auto"/>
            <w:bottom w:val="none" w:sz="0" w:space="0" w:color="auto"/>
            <w:right w:val="none" w:sz="0" w:space="0" w:color="auto"/>
          </w:divBdr>
        </w:div>
        <w:div w:id="994841358">
          <w:marLeft w:val="0"/>
          <w:marRight w:val="0"/>
          <w:marTop w:val="20"/>
          <w:marBottom w:val="101"/>
          <w:divBdr>
            <w:top w:val="none" w:sz="0" w:space="0" w:color="auto"/>
            <w:left w:val="none" w:sz="0" w:space="0" w:color="auto"/>
            <w:bottom w:val="none" w:sz="0" w:space="0" w:color="auto"/>
            <w:right w:val="none" w:sz="0" w:space="0" w:color="auto"/>
          </w:divBdr>
        </w:div>
        <w:div w:id="176385607">
          <w:marLeft w:val="0"/>
          <w:marRight w:val="0"/>
          <w:marTop w:val="20"/>
          <w:marBottom w:val="101"/>
          <w:divBdr>
            <w:top w:val="none" w:sz="0" w:space="0" w:color="auto"/>
            <w:left w:val="none" w:sz="0" w:space="0" w:color="auto"/>
            <w:bottom w:val="none" w:sz="0" w:space="0" w:color="auto"/>
            <w:right w:val="none" w:sz="0" w:space="0" w:color="auto"/>
          </w:divBdr>
        </w:div>
        <w:div w:id="1124956780">
          <w:marLeft w:val="0"/>
          <w:marRight w:val="0"/>
          <w:marTop w:val="20"/>
          <w:marBottom w:val="101"/>
          <w:divBdr>
            <w:top w:val="none" w:sz="0" w:space="0" w:color="auto"/>
            <w:left w:val="none" w:sz="0" w:space="0" w:color="auto"/>
            <w:bottom w:val="none" w:sz="0" w:space="0" w:color="auto"/>
            <w:right w:val="none" w:sz="0" w:space="0" w:color="auto"/>
          </w:divBdr>
        </w:div>
        <w:div w:id="1784569984">
          <w:marLeft w:val="0"/>
          <w:marRight w:val="0"/>
          <w:marTop w:val="20"/>
          <w:marBottom w:val="101"/>
          <w:divBdr>
            <w:top w:val="none" w:sz="0" w:space="0" w:color="auto"/>
            <w:left w:val="none" w:sz="0" w:space="0" w:color="auto"/>
            <w:bottom w:val="none" w:sz="0" w:space="0" w:color="auto"/>
            <w:right w:val="none" w:sz="0" w:space="0" w:color="auto"/>
          </w:divBdr>
        </w:div>
        <w:div w:id="584656596">
          <w:marLeft w:val="0"/>
          <w:marRight w:val="0"/>
          <w:marTop w:val="20"/>
          <w:marBottom w:val="101"/>
          <w:divBdr>
            <w:top w:val="none" w:sz="0" w:space="0" w:color="auto"/>
            <w:left w:val="none" w:sz="0" w:space="0" w:color="auto"/>
            <w:bottom w:val="none" w:sz="0" w:space="0" w:color="auto"/>
            <w:right w:val="none" w:sz="0" w:space="0" w:color="auto"/>
          </w:divBdr>
        </w:div>
        <w:div w:id="868562964">
          <w:marLeft w:val="0"/>
          <w:marRight w:val="0"/>
          <w:marTop w:val="20"/>
          <w:marBottom w:val="101"/>
          <w:divBdr>
            <w:top w:val="none" w:sz="0" w:space="0" w:color="auto"/>
            <w:left w:val="none" w:sz="0" w:space="0" w:color="auto"/>
            <w:bottom w:val="none" w:sz="0" w:space="0" w:color="auto"/>
            <w:right w:val="none" w:sz="0" w:space="0" w:color="auto"/>
          </w:divBdr>
        </w:div>
        <w:div w:id="40135448">
          <w:marLeft w:val="0"/>
          <w:marRight w:val="0"/>
          <w:marTop w:val="20"/>
          <w:marBottom w:val="101"/>
          <w:divBdr>
            <w:top w:val="none" w:sz="0" w:space="0" w:color="auto"/>
            <w:left w:val="none" w:sz="0" w:space="0" w:color="auto"/>
            <w:bottom w:val="none" w:sz="0" w:space="0" w:color="auto"/>
            <w:right w:val="none" w:sz="0" w:space="0" w:color="auto"/>
          </w:divBdr>
        </w:div>
        <w:div w:id="466243642">
          <w:marLeft w:val="0"/>
          <w:marRight w:val="0"/>
          <w:marTop w:val="20"/>
          <w:marBottom w:val="101"/>
          <w:divBdr>
            <w:top w:val="none" w:sz="0" w:space="0" w:color="auto"/>
            <w:left w:val="none" w:sz="0" w:space="0" w:color="auto"/>
            <w:bottom w:val="none" w:sz="0" w:space="0" w:color="auto"/>
            <w:right w:val="none" w:sz="0" w:space="0" w:color="auto"/>
          </w:divBdr>
        </w:div>
        <w:div w:id="870342401">
          <w:marLeft w:val="0"/>
          <w:marRight w:val="0"/>
          <w:marTop w:val="20"/>
          <w:marBottom w:val="101"/>
          <w:divBdr>
            <w:top w:val="none" w:sz="0" w:space="0" w:color="auto"/>
            <w:left w:val="none" w:sz="0" w:space="0" w:color="auto"/>
            <w:bottom w:val="none" w:sz="0" w:space="0" w:color="auto"/>
            <w:right w:val="none" w:sz="0" w:space="0" w:color="auto"/>
          </w:divBdr>
        </w:div>
        <w:div w:id="1160581312">
          <w:marLeft w:val="0"/>
          <w:marRight w:val="0"/>
          <w:marTop w:val="20"/>
          <w:marBottom w:val="101"/>
          <w:divBdr>
            <w:top w:val="none" w:sz="0" w:space="0" w:color="auto"/>
            <w:left w:val="none" w:sz="0" w:space="0" w:color="auto"/>
            <w:bottom w:val="none" w:sz="0" w:space="0" w:color="auto"/>
            <w:right w:val="none" w:sz="0" w:space="0" w:color="auto"/>
          </w:divBdr>
        </w:div>
        <w:div w:id="862671648">
          <w:marLeft w:val="0"/>
          <w:marRight w:val="0"/>
          <w:marTop w:val="20"/>
          <w:marBottom w:val="101"/>
          <w:divBdr>
            <w:top w:val="none" w:sz="0" w:space="0" w:color="auto"/>
            <w:left w:val="none" w:sz="0" w:space="0" w:color="auto"/>
            <w:bottom w:val="none" w:sz="0" w:space="0" w:color="auto"/>
            <w:right w:val="none" w:sz="0" w:space="0" w:color="auto"/>
          </w:divBdr>
        </w:div>
        <w:div w:id="156851279">
          <w:marLeft w:val="0"/>
          <w:marRight w:val="0"/>
          <w:marTop w:val="20"/>
          <w:marBottom w:val="101"/>
          <w:divBdr>
            <w:top w:val="none" w:sz="0" w:space="0" w:color="auto"/>
            <w:left w:val="none" w:sz="0" w:space="0" w:color="auto"/>
            <w:bottom w:val="none" w:sz="0" w:space="0" w:color="auto"/>
            <w:right w:val="none" w:sz="0" w:space="0" w:color="auto"/>
          </w:divBdr>
        </w:div>
        <w:div w:id="1932741872">
          <w:marLeft w:val="0"/>
          <w:marRight w:val="0"/>
          <w:marTop w:val="20"/>
          <w:marBottom w:val="101"/>
          <w:divBdr>
            <w:top w:val="none" w:sz="0" w:space="0" w:color="auto"/>
            <w:left w:val="none" w:sz="0" w:space="0" w:color="auto"/>
            <w:bottom w:val="none" w:sz="0" w:space="0" w:color="auto"/>
            <w:right w:val="none" w:sz="0" w:space="0" w:color="auto"/>
          </w:divBdr>
        </w:div>
        <w:div w:id="780297022">
          <w:marLeft w:val="0"/>
          <w:marRight w:val="0"/>
          <w:marTop w:val="20"/>
          <w:marBottom w:val="101"/>
          <w:divBdr>
            <w:top w:val="none" w:sz="0" w:space="0" w:color="auto"/>
            <w:left w:val="none" w:sz="0" w:space="0" w:color="auto"/>
            <w:bottom w:val="none" w:sz="0" w:space="0" w:color="auto"/>
            <w:right w:val="none" w:sz="0" w:space="0" w:color="auto"/>
          </w:divBdr>
        </w:div>
        <w:div w:id="1544059060">
          <w:marLeft w:val="0"/>
          <w:marRight w:val="0"/>
          <w:marTop w:val="20"/>
          <w:marBottom w:val="101"/>
          <w:divBdr>
            <w:top w:val="none" w:sz="0" w:space="0" w:color="auto"/>
            <w:left w:val="none" w:sz="0" w:space="0" w:color="auto"/>
            <w:bottom w:val="none" w:sz="0" w:space="0" w:color="auto"/>
            <w:right w:val="none" w:sz="0" w:space="0" w:color="auto"/>
          </w:divBdr>
        </w:div>
        <w:div w:id="715471294">
          <w:marLeft w:val="0"/>
          <w:marRight w:val="0"/>
          <w:marTop w:val="20"/>
          <w:marBottom w:val="101"/>
          <w:divBdr>
            <w:top w:val="none" w:sz="0" w:space="0" w:color="auto"/>
            <w:left w:val="none" w:sz="0" w:space="0" w:color="auto"/>
            <w:bottom w:val="none" w:sz="0" w:space="0" w:color="auto"/>
            <w:right w:val="none" w:sz="0" w:space="0" w:color="auto"/>
          </w:divBdr>
        </w:div>
        <w:div w:id="1230842009">
          <w:marLeft w:val="0"/>
          <w:marRight w:val="0"/>
          <w:marTop w:val="20"/>
          <w:marBottom w:val="101"/>
          <w:divBdr>
            <w:top w:val="none" w:sz="0" w:space="0" w:color="auto"/>
            <w:left w:val="none" w:sz="0" w:space="0" w:color="auto"/>
            <w:bottom w:val="none" w:sz="0" w:space="0" w:color="auto"/>
            <w:right w:val="none" w:sz="0" w:space="0" w:color="auto"/>
          </w:divBdr>
        </w:div>
        <w:div w:id="214782976">
          <w:marLeft w:val="0"/>
          <w:marRight w:val="0"/>
          <w:marTop w:val="20"/>
          <w:marBottom w:val="101"/>
          <w:divBdr>
            <w:top w:val="none" w:sz="0" w:space="0" w:color="auto"/>
            <w:left w:val="none" w:sz="0" w:space="0" w:color="auto"/>
            <w:bottom w:val="none" w:sz="0" w:space="0" w:color="auto"/>
            <w:right w:val="none" w:sz="0" w:space="0" w:color="auto"/>
          </w:divBdr>
        </w:div>
        <w:div w:id="551893433">
          <w:marLeft w:val="0"/>
          <w:marRight w:val="0"/>
          <w:marTop w:val="20"/>
          <w:marBottom w:val="101"/>
          <w:divBdr>
            <w:top w:val="none" w:sz="0" w:space="0" w:color="auto"/>
            <w:left w:val="none" w:sz="0" w:space="0" w:color="auto"/>
            <w:bottom w:val="none" w:sz="0" w:space="0" w:color="auto"/>
            <w:right w:val="none" w:sz="0" w:space="0" w:color="auto"/>
          </w:divBdr>
        </w:div>
        <w:div w:id="1085567809">
          <w:marLeft w:val="0"/>
          <w:marRight w:val="0"/>
          <w:marTop w:val="20"/>
          <w:marBottom w:val="101"/>
          <w:divBdr>
            <w:top w:val="none" w:sz="0" w:space="0" w:color="auto"/>
            <w:left w:val="none" w:sz="0" w:space="0" w:color="auto"/>
            <w:bottom w:val="none" w:sz="0" w:space="0" w:color="auto"/>
            <w:right w:val="none" w:sz="0" w:space="0" w:color="auto"/>
          </w:divBdr>
        </w:div>
        <w:div w:id="1032145432">
          <w:marLeft w:val="0"/>
          <w:marRight w:val="0"/>
          <w:marTop w:val="20"/>
          <w:marBottom w:val="101"/>
          <w:divBdr>
            <w:top w:val="none" w:sz="0" w:space="0" w:color="auto"/>
            <w:left w:val="none" w:sz="0" w:space="0" w:color="auto"/>
            <w:bottom w:val="none" w:sz="0" w:space="0" w:color="auto"/>
            <w:right w:val="none" w:sz="0" w:space="0" w:color="auto"/>
          </w:divBdr>
        </w:div>
        <w:div w:id="615407333">
          <w:marLeft w:val="0"/>
          <w:marRight w:val="0"/>
          <w:marTop w:val="20"/>
          <w:marBottom w:val="101"/>
          <w:divBdr>
            <w:top w:val="none" w:sz="0" w:space="0" w:color="auto"/>
            <w:left w:val="none" w:sz="0" w:space="0" w:color="auto"/>
            <w:bottom w:val="none" w:sz="0" w:space="0" w:color="auto"/>
            <w:right w:val="none" w:sz="0" w:space="0" w:color="auto"/>
          </w:divBdr>
        </w:div>
        <w:div w:id="515538329">
          <w:marLeft w:val="0"/>
          <w:marRight w:val="0"/>
          <w:marTop w:val="20"/>
          <w:marBottom w:val="101"/>
          <w:divBdr>
            <w:top w:val="none" w:sz="0" w:space="0" w:color="auto"/>
            <w:left w:val="none" w:sz="0" w:space="0" w:color="auto"/>
            <w:bottom w:val="none" w:sz="0" w:space="0" w:color="auto"/>
            <w:right w:val="none" w:sz="0" w:space="0" w:color="auto"/>
          </w:divBdr>
        </w:div>
        <w:div w:id="340161614">
          <w:marLeft w:val="0"/>
          <w:marRight w:val="0"/>
          <w:marTop w:val="20"/>
          <w:marBottom w:val="101"/>
          <w:divBdr>
            <w:top w:val="none" w:sz="0" w:space="0" w:color="auto"/>
            <w:left w:val="none" w:sz="0" w:space="0" w:color="auto"/>
            <w:bottom w:val="none" w:sz="0" w:space="0" w:color="auto"/>
            <w:right w:val="none" w:sz="0" w:space="0" w:color="auto"/>
          </w:divBdr>
        </w:div>
        <w:div w:id="1894536896">
          <w:marLeft w:val="0"/>
          <w:marRight w:val="0"/>
          <w:marTop w:val="20"/>
          <w:marBottom w:val="101"/>
          <w:divBdr>
            <w:top w:val="none" w:sz="0" w:space="0" w:color="auto"/>
            <w:left w:val="none" w:sz="0" w:space="0" w:color="auto"/>
            <w:bottom w:val="none" w:sz="0" w:space="0" w:color="auto"/>
            <w:right w:val="none" w:sz="0" w:space="0" w:color="auto"/>
          </w:divBdr>
        </w:div>
        <w:div w:id="744692639">
          <w:marLeft w:val="0"/>
          <w:marRight w:val="0"/>
          <w:marTop w:val="20"/>
          <w:marBottom w:val="101"/>
          <w:divBdr>
            <w:top w:val="none" w:sz="0" w:space="0" w:color="auto"/>
            <w:left w:val="none" w:sz="0" w:space="0" w:color="auto"/>
            <w:bottom w:val="none" w:sz="0" w:space="0" w:color="auto"/>
            <w:right w:val="none" w:sz="0" w:space="0" w:color="auto"/>
          </w:divBdr>
        </w:div>
        <w:div w:id="1039817892">
          <w:marLeft w:val="0"/>
          <w:marRight w:val="0"/>
          <w:marTop w:val="20"/>
          <w:marBottom w:val="101"/>
          <w:divBdr>
            <w:top w:val="none" w:sz="0" w:space="0" w:color="auto"/>
            <w:left w:val="none" w:sz="0" w:space="0" w:color="auto"/>
            <w:bottom w:val="none" w:sz="0" w:space="0" w:color="auto"/>
            <w:right w:val="none" w:sz="0" w:space="0" w:color="auto"/>
          </w:divBdr>
        </w:div>
        <w:div w:id="351342676">
          <w:marLeft w:val="0"/>
          <w:marRight w:val="0"/>
          <w:marTop w:val="20"/>
          <w:marBottom w:val="101"/>
          <w:divBdr>
            <w:top w:val="none" w:sz="0" w:space="0" w:color="auto"/>
            <w:left w:val="none" w:sz="0" w:space="0" w:color="auto"/>
            <w:bottom w:val="none" w:sz="0" w:space="0" w:color="auto"/>
            <w:right w:val="none" w:sz="0" w:space="0" w:color="auto"/>
          </w:divBdr>
        </w:div>
        <w:div w:id="2028632031">
          <w:marLeft w:val="0"/>
          <w:marRight w:val="0"/>
          <w:marTop w:val="20"/>
          <w:marBottom w:val="101"/>
          <w:divBdr>
            <w:top w:val="none" w:sz="0" w:space="0" w:color="auto"/>
            <w:left w:val="none" w:sz="0" w:space="0" w:color="auto"/>
            <w:bottom w:val="none" w:sz="0" w:space="0" w:color="auto"/>
            <w:right w:val="none" w:sz="0" w:space="0" w:color="auto"/>
          </w:divBdr>
        </w:div>
        <w:div w:id="1163204282">
          <w:marLeft w:val="0"/>
          <w:marRight w:val="0"/>
          <w:marTop w:val="20"/>
          <w:marBottom w:val="101"/>
          <w:divBdr>
            <w:top w:val="none" w:sz="0" w:space="0" w:color="auto"/>
            <w:left w:val="none" w:sz="0" w:space="0" w:color="auto"/>
            <w:bottom w:val="none" w:sz="0" w:space="0" w:color="auto"/>
            <w:right w:val="none" w:sz="0" w:space="0" w:color="auto"/>
          </w:divBdr>
        </w:div>
        <w:div w:id="802038664">
          <w:marLeft w:val="907"/>
          <w:marRight w:val="0"/>
          <w:marTop w:val="0"/>
          <w:marBottom w:val="101"/>
          <w:divBdr>
            <w:top w:val="none" w:sz="0" w:space="0" w:color="auto"/>
            <w:left w:val="none" w:sz="0" w:space="0" w:color="auto"/>
            <w:bottom w:val="none" w:sz="0" w:space="0" w:color="auto"/>
            <w:right w:val="none" w:sz="0" w:space="0" w:color="auto"/>
          </w:divBdr>
        </w:div>
        <w:div w:id="825827957">
          <w:marLeft w:val="907"/>
          <w:marRight w:val="0"/>
          <w:marTop w:val="0"/>
          <w:marBottom w:val="101"/>
          <w:divBdr>
            <w:top w:val="none" w:sz="0" w:space="0" w:color="auto"/>
            <w:left w:val="none" w:sz="0" w:space="0" w:color="auto"/>
            <w:bottom w:val="none" w:sz="0" w:space="0" w:color="auto"/>
            <w:right w:val="none" w:sz="0" w:space="0" w:color="auto"/>
          </w:divBdr>
        </w:div>
        <w:div w:id="2097510635">
          <w:marLeft w:val="907"/>
          <w:marRight w:val="0"/>
          <w:marTop w:val="0"/>
          <w:marBottom w:val="101"/>
          <w:divBdr>
            <w:top w:val="none" w:sz="0" w:space="0" w:color="auto"/>
            <w:left w:val="none" w:sz="0" w:space="0" w:color="auto"/>
            <w:bottom w:val="none" w:sz="0" w:space="0" w:color="auto"/>
            <w:right w:val="none" w:sz="0" w:space="0" w:color="auto"/>
          </w:divBdr>
        </w:div>
        <w:div w:id="80371793">
          <w:marLeft w:val="907"/>
          <w:marRight w:val="0"/>
          <w:marTop w:val="0"/>
          <w:marBottom w:val="101"/>
          <w:divBdr>
            <w:top w:val="none" w:sz="0" w:space="0" w:color="auto"/>
            <w:left w:val="none" w:sz="0" w:space="0" w:color="auto"/>
            <w:bottom w:val="none" w:sz="0" w:space="0" w:color="auto"/>
            <w:right w:val="none" w:sz="0" w:space="0" w:color="auto"/>
          </w:divBdr>
        </w:div>
        <w:div w:id="582184020">
          <w:marLeft w:val="907"/>
          <w:marRight w:val="0"/>
          <w:marTop w:val="0"/>
          <w:marBottom w:val="101"/>
          <w:divBdr>
            <w:top w:val="none" w:sz="0" w:space="0" w:color="auto"/>
            <w:left w:val="none" w:sz="0" w:space="0" w:color="auto"/>
            <w:bottom w:val="none" w:sz="0" w:space="0" w:color="auto"/>
            <w:right w:val="none" w:sz="0" w:space="0" w:color="auto"/>
          </w:divBdr>
        </w:div>
        <w:div w:id="209388019">
          <w:marLeft w:val="907"/>
          <w:marRight w:val="0"/>
          <w:marTop w:val="0"/>
          <w:marBottom w:val="101"/>
          <w:divBdr>
            <w:top w:val="none" w:sz="0" w:space="0" w:color="auto"/>
            <w:left w:val="none" w:sz="0" w:space="0" w:color="auto"/>
            <w:bottom w:val="none" w:sz="0" w:space="0" w:color="auto"/>
            <w:right w:val="none" w:sz="0" w:space="0" w:color="auto"/>
          </w:divBdr>
        </w:div>
        <w:div w:id="1129393709">
          <w:marLeft w:val="907"/>
          <w:marRight w:val="0"/>
          <w:marTop w:val="0"/>
          <w:marBottom w:val="101"/>
          <w:divBdr>
            <w:top w:val="none" w:sz="0" w:space="0" w:color="auto"/>
            <w:left w:val="none" w:sz="0" w:space="0" w:color="auto"/>
            <w:bottom w:val="none" w:sz="0" w:space="0" w:color="auto"/>
            <w:right w:val="none" w:sz="0" w:space="0" w:color="auto"/>
          </w:divBdr>
        </w:div>
        <w:div w:id="453601324">
          <w:marLeft w:val="0"/>
          <w:marRight w:val="0"/>
          <w:marTop w:val="58"/>
          <w:marBottom w:val="92"/>
          <w:divBdr>
            <w:top w:val="none" w:sz="0" w:space="0" w:color="auto"/>
            <w:left w:val="none" w:sz="0" w:space="0" w:color="auto"/>
            <w:bottom w:val="none" w:sz="0" w:space="0" w:color="auto"/>
            <w:right w:val="none" w:sz="0" w:space="0" w:color="auto"/>
          </w:divBdr>
        </w:div>
        <w:div w:id="376704259">
          <w:marLeft w:val="0"/>
          <w:marRight w:val="0"/>
          <w:marTop w:val="58"/>
          <w:marBottom w:val="92"/>
          <w:divBdr>
            <w:top w:val="none" w:sz="0" w:space="0" w:color="auto"/>
            <w:left w:val="none" w:sz="0" w:space="0" w:color="auto"/>
            <w:bottom w:val="none" w:sz="0" w:space="0" w:color="auto"/>
            <w:right w:val="none" w:sz="0" w:space="0" w:color="auto"/>
          </w:divBdr>
        </w:div>
        <w:div w:id="743065853">
          <w:marLeft w:val="0"/>
          <w:marRight w:val="0"/>
          <w:marTop w:val="58"/>
          <w:marBottom w:val="92"/>
          <w:divBdr>
            <w:top w:val="none" w:sz="0" w:space="0" w:color="auto"/>
            <w:left w:val="none" w:sz="0" w:space="0" w:color="auto"/>
            <w:bottom w:val="none" w:sz="0" w:space="0" w:color="auto"/>
            <w:right w:val="none" w:sz="0" w:space="0" w:color="auto"/>
          </w:divBdr>
        </w:div>
        <w:div w:id="681862201">
          <w:marLeft w:val="0"/>
          <w:marRight w:val="0"/>
          <w:marTop w:val="58"/>
          <w:marBottom w:val="92"/>
          <w:divBdr>
            <w:top w:val="none" w:sz="0" w:space="0" w:color="auto"/>
            <w:left w:val="none" w:sz="0" w:space="0" w:color="auto"/>
            <w:bottom w:val="none" w:sz="0" w:space="0" w:color="auto"/>
            <w:right w:val="none" w:sz="0" w:space="0" w:color="auto"/>
          </w:divBdr>
        </w:div>
        <w:div w:id="64112096">
          <w:marLeft w:val="0"/>
          <w:marRight w:val="0"/>
          <w:marTop w:val="58"/>
          <w:marBottom w:val="92"/>
          <w:divBdr>
            <w:top w:val="none" w:sz="0" w:space="0" w:color="auto"/>
            <w:left w:val="none" w:sz="0" w:space="0" w:color="auto"/>
            <w:bottom w:val="none" w:sz="0" w:space="0" w:color="auto"/>
            <w:right w:val="none" w:sz="0" w:space="0" w:color="auto"/>
          </w:divBdr>
        </w:div>
        <w:div w:id="843976738">
          <w:marLeft w:val="0"/>
          <w:marRight w:val="0"/>
          <w:marTop w:val="58"/>
          <w:marBottom w:val="92"/>
          <w:divBdr>
            <w:top w:val="none" w:sz="0" w:space="0" w:color="auto"/>
            <w:left w:val="none" w:sz="0" w:space="0" w:color="auto"/>
            <w:bottom w:val="none" w:sz="0" w:space="0" w:color="auto"/>
            <w:right w:val="none" w:sz="0" w:space="0" w:color="auto"/>
          </w:divBdr>
        </w:div>
        <w:div w:id="1926646353">
          <w:marLeft w:val="0"/>
          <w:marRight w:val="0"/>
          <w:marTop w:val="58"/>
          <w:marBottom w:val="92"/>
          <w:divBdr>
            <w:top w:val="none" w:sz="0" w:space="0" w:color="auto"/>
            <w:left w:val="none" w:sz="0" w:space="0" w:color="auto"/>
            <w:bottom w:val="none" w:sz="0" w:space="0" w:color="auto"/>
            <w:right w:val="none" w:sz="0" w:space="0" w:color="auto"/>
          </w:divBdr>
        </w:div>
        <w:div w:id="699863236">
          <w:marLeft w:val="0"/>
          <w:marRight w:val="0"/>
          <w:marTop w:val="58"/>
          <w:marBottom w:val="92"/>
          <w:divBdr>
            <w:top w:val="none" w:sz="0" w:space="0" w:color="auto"/>
            <w:left w:val="none" w:sz="0" w:space="0" w:color="auto"/>
            <w:bottom w:val="none" w:sz="0" w:space="0" w:color="auto"/>
            <w:right w:val="none" w:sz="0" w:space="0" w:color="auto"/>
          </w:divBdr>
        </w:div>
        <w:div w:id="926352496">
          <w:marLeft w:val="0"/>
          <w:marRight w:val="0"/>
          <w:marTop w:val="58"/>
          <w:marBottom w:val="92"/>
          <w:divBdr>
            <w:top w:val="none" w:sz="0" w:space="0" w:color="auto"/>
            <w:left w:val="none" w:sz="0" w:space="0" w:color="auto"/>
            <w:bottom w:val="none" w:sz="0" w:space="0" w:color="auto"/>
            <w:right w:val="none" w:sz="0" w:space="0" w:color="auto"/>
          </w:divBdr>
        </w:div>
        <w:div w:id="948245882">
          <w:marLeft w:val="0"/>
          <w:marRight w:val="0"/>
          <w:marTop w:val="58"/>
          <w:marBottom w:val="92"/>
          <w:divBdr>
            <w:top w:val="none" w:sz="0" w:space="0" w:color="auto"/>
            <w:left w:val="none" w:sz="0" w:space="0" w:color="auto"/>
            <w:bottom w:val="none" w:sz="0" w:space="0" w:color="auto"/>
            <w:right w:val="none" w:sz="0" w:space="0" w:color="auto"/>
          </w:divBdr>
        </w:div>
        <w:div w:id="1849444021">
          <w:marLeft w:val="0"/>
          <w:marRight w:val="0"/>
          <w:marTop w:val="58"/>
          <w:marBottom w:val="92"/>
          <w:divBdr>
            <w:top w:val="none" w:sz="0" w:space="0" w:color="auto"/>
            <w:left w:val="none" w:sz="0" w:space="0" w:color="auto"/>
            <w:bottom w:val="none" w:sz="0" w:space="0" w:color="auto"/>
            <w:right w:val="none" w:sz="0" w:space="0" w:color="auto"/>
          </w:divBdr>
        </w:div>
        <w:div w:id="1876458422">
          <w:marLeft w:val="0"/>
          <w:marRight w:val="0"/>
          <w:marTop w:val="58"/>
          <w:marBottom w:val="92"/>
          <w:divBdr>
            <w:top w:val="none" w:sz="0" w:space="0" w:color="auto"/>
            <w:left w:val="none" w:sz="0" w:space="0" w:color="auto"/>
            <w:bottom w:val="none" w:sz="0" w:space="0" w:color="auto"/>
            <w:right w:val="none" w:sz="0" w:space="0" w:color="auto"/>
          </w:divBdr>
        </w:div>
        <w:div w:id="528178440">
          <w:marLeft w:val="0"/>
          <w:marRight w:val="0"/>
          <w:marTop w:val="58"/>
          <w:marBottom w:val="92"/>
          <w:divBdr>
            <w:top w:val="none" w:sz="0" w:space="0" w:color="auto"/>
            <w:left w:val="none" w:sz="0" w:space="0" w:color="auto"/>
            <w:bottom w:val="none" w:sz="0" w:space="0" w:color="auto"/>
            <w:right w:val="none" w:sz="0" w:space="0" w:color="auto"/>
          </w:divBdr>
        </w:div>
        <w:div w:id="210309429">
          <w:marLeft w:val="0"/>
          <w:marRight w:val="0"/>
          <w:marTop w:val="58"/>
          <w:marBottom w:val="92"/>
          <w:divBdr>
            <w:top w:val="none" w:sz="0" w:space="0" w:color="auto"/>
            <w:left w:val="none" w:sz="0" w:space="0" w:color="auto"/>
            <w:bottom w:val="none" w:sz="0" w:space="0" w:color="auto"/>
            <w:right w:val="none" w:sz="0" w:space="0" w:color="auto"/>
          </w:divBdr>
        </w:div>
        <w:div w:id="714355141">
          <w:marLeft w:val="0"/>
          <w:marRight w:val="0"/>
          <w:marTop w:val="58"/>
          <w:marBottom w:val="92"/>
          <w:divBdr>
            <w:top w:val="none" w:sz="0" w:space="0" w:color="auto"/>
            <w:left w:val="none" w:sz="0" w:space="0" w:color="auto"/>
            <w:bottom w:val="none" w:sz="0" w:space="0" w:color="auto"/>
            <w:right w:val="none" w:sz="0" w:space="0" w:color="auto"/>
          </w:divBdr>
        </w:div>
        <w:div w:id="195119560">
          <w:marLeft w:val="0"/>
          <w:marRight w:val="0"/>
          <w:marTop w:val="58"/>
          <w:marBottom w:val="92"/>
          <w:divBdr>
            <w:top w:val="none" w:sz="0" w:space="0" w:color="auto"/>
            <w:left w:val="none" w:sz="0" w:space="0" w:color="auto"/>
            <w:bottom w:val="none" w:sz="0" w:space="0" w:color="auto"/>
            <w:right w:val="none" w:sz="0" w:space="0" w:color="auto"/>
          </w:divBdr>
        </w:div>
        <w:div w:id="559750036">
          <w:marLeft w:val="0"/>
          <w:marRight w:val="0"/>
          <w:marTop w:val="58"/>
          <w:marBottom w:val="92"/>
          <w:divBdr>
            <w:top w:val="none" w:sz="0" w:space="0" w:color="auto"/>
            <w:left w:val="none" w:sz="0" w:space="0" w:color="auto"/>
            <w:bottom w:val="none" w:sz="0" w:space="0" w:color="auto"/>
            <w:right w:val="none" w:sz="0" w:space="0" w:color="auto"/>
          </w:divBdr>
        </w:div>
        <w:div w:id="508300194">
          <w:marLeft w:val="0"/>
          <w:marRight w:val="0"/>
          <w:marTop w:val="58"/>
          <w:marBottom w:val="92"/>
          <w:divBdr>
            <w:top w:val="none" w:sz="0" w:space="0" w:color="auto"/>
            <w:left w:val="none" w:sz="0" w:space="0" w:color="auto"/>
            <w:bottom w:val="none" w:sz="0" w:space="0" w:color="auto"/>
            <w:right w:val="none" w:sz="0" w:space="0" w:color="auto"/>
          </w:divBdr>
        </w:div>
        <w:div w:id="1260987341">
          <w:marLeft w:val="0"/>
          <w:marRight w:val="0"/>
          <w:marTop w:val="58"/>
          <w:marBottom w:val="92"/>
          <w:divBdr>
            <w:top w:val="none" w:sz="0" w:space="0" w:color="auto"/>
            <w:left w:val="none" w:sz="0" w:space="0" w:color="auto"/>
            <w:bottom w:val="none" w:sz="0" w:space="0" w:color="auto"/>
            <w:right w:val="none" w:sz="0" w:space="0" w:color="auto"/>
          </w:divBdr>
        </w:div>
        <w:div w:id="1624968755">
          <w:marLeft w:val="0"/>
          <w:marRight w:val="0"/>
          <w:marTop w:val="58"/>
          <w:marBottom w:val="92"/>
          <w:divBdr>
            <w:top w:val="none" w:sz="0" w:space="0" w:color="auto"/>
            <w:left w:val="none" w:sz="0" w:space="0" w:color="auto"/>
            <w:bottom w:val="none" w:sz="0" w:space="0" w:color="auto"/>
            <w:right w:val="none" w:sz="0" w:space="0" w:color="auto"/>
          </w:divBdr>
        </w:div>
        <w:div w:id="956908683">
          <w:marLeft w:val="0"/>
          <w:marRight w:val="0"/>
          <w:marTop w:val="58"/>
          <w:marBottom w:val="92"/>
          <w:divBdr>
            <w:top w:val="none" w:sz="0" w:space="0" w:color="auto"/>
            <w:left w:val="none" w:sz="0" w:space="0" w:color="auto"/>
            <w:bottom w:val="none" w:sz="0" w:space="0" w:color="auto"/>
            <w:right w:val="none" w:sz="0" w:space="0" w:color="auto"/>
          </w:divBdr>
        </w:div>
        <w:div w:id="506797594">
          <w:marLeft w:val="0"/>
          <w:marRight w:val="0"/>
          <w:marTop w:val="58"/>
          <w:marBottom w:val="92"/>
          <w:divBdr>
            <w:top w:val="none" w:sz="0" w:space="0" w:color="auto"/>
            <w:left w:val="none" w:sz="0" w:space="0" w:color="auto"/>
            <w:bottom w:val="none" w:sz="0" w:space="0" w:color="auto"/>
            <w:right w:val="none" w:sz="0" w:space="0" w:color="auto"/>
          </w:divBdr>
        </w:div>
        <w:div w:id="1367562131">
          <w:marLeft w:val="0"/>
          <w:marRight w:val="0"/>
          <w:marTop w:val="58"/>
          <w:marBottom w:val="92"/>
          <w:divBdr>
            <w:top w:val="none" w:sz="0" w:space="0" w:color="auto"/>
            <w:left w:val="none" w:sz="0" w:space="0" w:color="auto"/>
            <w:bottom w:val="none" w:sz="0" w:space="0" w:color="auto"/>
            <w:right w:val="none" w:sz="0" w:space="0" w:color="auto"/>
          </w:divBdr>
        </w:div>
        <w:div w:id="1725254215">
          <w:marLeft w:val="0"/>
          <w:marRight w:val="0"/>
          <w:marTop w:val="58"/>
          <w:marBottom w:val="92"/>
          <w:divBdr>
            <w:top w:val="none" w:sz="0" w:space="0" w:color="auto"/>
            <w:left w:val="none" w:sz="0" w:space="0" w:color="auto"/>
            <w:bottom w:val="none" w:sz="0" w:space="0" w:color="auto"/>
            <w:right w:val="none" w:sz="0" w:space="0" w:color="auto"/>
          </w:divBdr>
        </w:div>
        <w:div w:id="854266533">
          <w:marLeft w:val="0"/>
          <w:marRight w:val="0"/>
          <w:marTop w:val="58"/>
          <w:marBottom w:val="92"/>
          <w:divBdr>
            <w:top w:val="none" w:sz="0" w:space="0" w:color="auto"/>
            <w:left w:val="none" w:sz="0" w:space="0" w:color="auto"/>
            <w:bottom w:val="none" w:sz="0" w:space="0" w:color="auto"/>
            <w:right w:val="none" w:sz="0" w:space="0" w:color="auto"/>
          </w:divBdr>
        </w:div>
        <w:div w:id="1067728917">
          <w:marLeft w:val="0"/>
          <w:marRight w:val="0"/>
          <w:marTop w:val="58"/>
          <w:marBottom w:val="92"/>
          <w:divBdr>
            <w:top w:val="none" w:sz="0" w:space="0" w:color="auto"/>
            <w:left w:val="none" w:sz="0" w:space="0" w:color="auto"/>
            <w:bottom w:val="none" w:sz="0" w:space="0" w:color="auto"/>
            <w:right w:val="none" w:sz="0" w:space="0" w:color="auto"/>
          </w:divBdr>
        </w:div>
        <w:div w:id="2069570659">
          <w:marLeft w:val="0"/>
          <w:marRight w:val="0"/>
          <w:marTop w:val="58"/>
          <w:marBottom w:val="92"/>
          <w:divBdr>
            <w:top w:val="none" w:sz="0" w:space="0" w:color="auto"/>
            <w:left w:val="none" w:sz="0" w:space="0" w:color="auto"/>
            <w:bottom w:val="none" w:sz="0" w:space="0" w:color="auto"/>
            <w:right w:val="none" w:sz="0" w:space="0" w:color="auto"/>
          </w:divBdr>
        </w:div>
        <w:div w:id="1996569676">
          <w:marLeft w:val="0"/>
          <w:marRight w:val="0"/>
          <w:marTop w:val="58"/>
          <w:marBottom w:val="92"/>
          <w:divBdr>
            <w:top w:val="none" w:sz="0" w:space="0" w:color="auto"/>
            <w:left w:val="none" w:sz="0" w:space="0" w:color="auto"/>
            <w:bottom w:val="none" w:sz="0" w:space="0" w:color="auto"/>
            <w:right w:val="none" w:sz="0" w:space="0" w:color="auto"/>
          </w:divBdr>
        </w:div>
        <w:div w:id="1257522685">
          <w:marLeft w:val="0"/>
          <w:marRight w:val="0"/>
          <w:marTop w:val="58"/>
          <w:marBottom w:val="92"/>
          <w:divBdr>
            <w:top w:val="none" w:sz="0" w:space="0" w:color="auto"/>
            <w:left w:val="none" w:sz="0" w:space="0" w:color="auto"/>
            <w:bottom w:val="none" w:sz="0" w:space="0" w:color="auto"/>
            <w:right w:val="none" w:sz="0" w:space="0" w:color="auto"/>
          </w:divBdr>
        </w:div>
        <w:div w:id="130563736">
          <w:marLeft w:val="0"/>
          <w:marRight w:val="0"/>
          <w:marTop w:val="58"/>
          <w:marBottom w:val="92"/>
          <w:divBdr>
            <w:top w:val="none" w:sz="0" w:space="0" w:color="auto"/>
            <w:left w:val="none" w:sz="0" w:space="0" w:color="auto"/>
            <w:bottom w:val="none" w:sz="0" w:space="0" w:color="auto"/>
            <w:right w:val="none" w:sz="0" w:space="0" w:color="auto"/>
          </w:divBdr>
        </w:div>
        <w:div w:id="1936742455">
          <w:marLeft w:val="0"/>
          <w:marRight w:val="0"/>
          <w:marTop w:val="58"/>
          <w:marBottom w:val="92"/>
          <w:divBdr>
            <w:top w:val="none" w:sz="0" w:space="0" w:color="auto"/>
            <w:left w:val="none" w:sz="0" w:space="0" w:color="auto"/>
            <w:bottom w:val="none" w:sz="0" w:space="0" w:color="auto"/>
            <w:right w:val="none" w:sz="0" w:space="0" w:color="auto"/>
          </w:divBdr>
        </w:div>
        <w:div w:id="1681082900">
          <w:marLeft w:val="0"/>
          <w:marRight w:val="0"/>
          <w:marTop w:val="58"/>
          <w:marBottom w:val="92"/>
          <w:divBdr>
            <w:top w:val="none" w:sz="0" w:space="0" w:color="auto"/>
            <w:left w:val="none" w:sz="0" w:space="0" w:color="auto"/>
            <w:bottom w:val="none" w:sz="0" w:space="0" w:color="auto"/>
            <w:right w:val="none" w:sz="0" w:space="0" w:color="auto"/>
          </w:divBdr>
        </w:div>
        <w:div w:id="235940145">
          <w:marLeft w:val="0"/>
          <w:marRight w:val="0"/>
          <w:marTop w:val="58"/>
          <w:marBottom w:val="92"/>
          <w:divBdr>
            <w:top w:val="none" w:sz="0" w:space="0" w:color="auto"/>
            <w:left w:val="none" w:sz="0" w:space="0" w:color="auto"/>
            <w:bottom w:val="none" w:sz="0" w:space="0" w:color="auto"/>
            <w:right w:val="none" w:sz="0" w:space="0" w:color="auto"/>
          </w:divBdr>
        </w:div>
        <w:div w:id="1452356208">
          <w:marLeft w:val="0"/>
          <w:marRight w:val="0"/>
          <w:marTop w:val="58"/>
          <w:marBottom w:val="92"/>
          <w:divBdr>
            <w:top w:val="none" w:sz="0" w:space="0" w:color="auto"/>
            <w:left w:val="none" w:sz="0" w:space="0" w:color="auto"/>
            <w:bottom w:val="none" w:sz="0" w:space="0" w:color="auto"/>
            <w:right w:val="none" w:sz="0" w:space="0" w:color="auto"/>
          </w:divBdr>
        </w:div>
        <w:div w:id="364718753">
          <w:marLeft w:val="0"/>
          <w:marRight w:val="0"/>
          <w:marTop w:val="58"/>
          <w:marBottom w:val="92"/>
          <w:divBdr>
            <w:top w:val="none" w:sz="0" w:space="0" w:color="auto"/>
            <w:left w:val="none" w:sz="0" w:space="0" w:color="auto"/>
            <w:bottom w:val="none" w:sz="0" w:space="0" w:color="auto"/>
            <w:right w:val="none" w:sz="0" w:space="0" w:color="auto"/>
          </w:divBdr>
        </w:div>
        <w:div w:id="627004590">
          <w:marLeft w:val="0"/>
          <w:marRight w:val="0"/>
          <w:marTop w:val="58"/>
          <w:marBottom w:val="92"/>
          <w:divBdr>
            <w:top w:val="none" w:sz="0" w:space="0" w:color="auto"/>
            <w:left w:val="none" w:sz="0" w:space="0" w:color="auto"/>
            <w:bottom w:val="none" w:sz="0" w:space="0" w:color="auto"/>
            <w:right w:val="none" w:sz="0" w:space="0" w:color="auto"/>
          </w:divBdr>
        </w:div>
        <w:div w:id="843474666">
          <w:marLeft w:val="0"/>
          <w:marRight w:val="0"/>
          <w:marTop w:val="58"/>
          <w:marBottom w:val="92"/>
          <w:divBdr>
            <w:top w:val="none" w:sz="0" w:space="0" w:color="auto"/>
            <w:left w:val="none" w:sz="0" w:space="0" w:color="auto"/>
            <w:bottom w:val="none" w:sz="0" w:space="0" w:color="auto"/>
            <w:right w:val="none" w:sz="0" w:space="0" w:color="auto"/>
          </w:divBdr>
        </w:div>
        <w:div w:id="1164318324">
          <w:marLeft w:val="0"/>
          <w:marRight w:val="0"/>
          <w:marTop w:val="58"/>
          <w:marBottom w:val="92"/>
          <w:divBdr>
            <w:top w:val="none" w:sz="0" w:space="0" w:color="auto"/>
            <w:left w:val="none" w:sz="0" w:space="0" w:color="auto"/>
            <w:bottom w:val="none" w:sz="0" w:space="0" w:color="auto"/>
            <w:right w:val="none" w:sz="0" w:space="0" w:color="auto"/>
          </w:divBdr>
        </w:div>
        <w:div w:id="1936858720">
          <w:marLeft w:val="0"/>
          <w:marRight w:val="0"/>
          <w:marTop w:val="58"/>
          <w:marBottom w:val="92"/>
          <w:divBdr>
            <w:top w:val="none" w:sz="0" w:space="0" w:color="auto"/>
            <w:left w:val="none" w:sz="0" w:space="0" w:color="auto"/>
            <w:bottom w:val="none" w:sz="0" w:space="0" w:color="auto"/>
            <w:right w:val="none" w:sz="0" w:space="0" w:color="auto"/>
          </w:divBdr>
        </w:div>
        <w:div w:id="178932986">
          <w:marLeft w:val="0"/>
          <w:marRight w:val="0"/>
          <w:marTop w:val="58"/>
          <w:marBottom w:val="92"/>
          <w:divBdr>
            <w:top w:val="none" w:sz="0" w:space="0" w:color="auto"/>
            <w:left w:val="none" w:sz="0" w:space="0" w:color="auto"/>
            <w:bottom w:val="none" w:sz="0" w:space="0" w:color="auto"/>
            <w:right w:val="none" w:sz="0" w:space="0" w:color="auto"/>
          </w:divBdr>
        </w:div>
        <w:div w:id="551381408">
          <w:marLeft w:val="0"/>
          <w:marRight w:val="0"/>
          <w:marTop w:val="58"/>
          <w:marBottom w:val="92"/>
          <w:divBdr>
            <w:top w:val="none" w:sz="0" w:space="0" w:color="auto"/>
            <w:left w:val="none" w:sz="0" w:space="0" w:color="auto"/>
            <w:bottom w:val="none" w:sz="0" w:space="0" w:color="auto"/>
            <w:right w:val="none" w:sz="0" w:space="0" w:color="auto"/>
          </w:divBdr>
        </w:div>
        <w:div w:id="1181579267">
          <w:marLeft w:val="0"/>
          <w:marRight w:val="0"/>
          <w:marTop w:val="58"/>
          <w:marBottom w:val="92"/>
          <w:divBdr>
            <w:top w:val="none" w:sz="0" w:space="0" w:color="auto"/>
            <w:left w:val="none" w:sz="0" w:space="0" w:color="auto"/>
            <w:bottom w:val="none" w:sz="0" w:space="0" w:color="auto"/>
            <w:right w:val="none" w:sz="0" w:space="0" w:color="auto"/>
          </w:divBdr>
        </w:div>
        <w:div w:id="881478892">
          <w:marLeft w:val="0"/>
          <w:marRight w:val="0"/>
          <w:marTop w:val="58"/>
          <w:marBottom w:val="92"/>
          <w:divBdr>
            <w:top w:val="none" w:sz="0" w:space="0" w:color="auto"/>
            <w:left w:val="none" w:sz="0" w:space="0" w:color="auto"/>
            <w:bottom w:val="none" w:sz="0" w:space="0" w:color="auto"/>
            <w:right w:val="none" w:sz="0" w:space="0" w:color="auto"/>
          </w:divBdr>
        </w:div>
        <w:div w:id="1718966180">
          <w:marLeft w:val="0"/>
          <w:marRight w:val="0"/>
          <w:marTop w:val="58"/>
          <w:marBottom w:val="92"/>
          <w:divBdr>
            <w:top w:val="none" w:sz="0" w:space="0" w:color="auto"/>
            <w:left w:val="none" w:sz="0" w:space="0" w:color="auto"/>
            <w:bottom w:val="none" w:sz="0" w:space="0" w:color="auto"/>
            <w:right w:val="none" w:sz="0" w:space="0" w:color="auto"/>
          </w:divBdr>
        </w:div>
        <w:div w:id="1531798407">
          <w:marLeft w:val="0"/>
          <w:marRight w:val="0"/>
          <w:marTop w:val="58"/>
          <w:marBottom w:val="92"/>
          <w:divBdr>
            <w:top w:val="none" w:sz="0" w:space="0" w:color="auto"/>
            <w:left w:val="none" w:sz="0" w:space="0" w:color="auto"/>
            <w:bottom w:val="none" w:sz="0" w:space="0" w:color="auto"/>
            <w:right w:val="none" w:sz="0" w:space="0" w:color="auto"/>
          </w:divBdr>
        </w:div>
        <w:div w:id="1340235105">
          <w:marLeft w:val="0"/>
          <w:marRight w:val="0"/>
          <w:marTop w:val="58"/>
          <w:marBottom w:val="92"/>
          <w:divBdr>
            <w:top w:val="none" w:sz="0" w:space="0" w:color="auto"/>
            <w:left w:val="none" w:sz="0" w:space="0" w:color="auto"/>
            <w:bottom w:val="none" w:sz="0" w:space="0" w:color="auto"/>
            <w:right w:val="none" w:sz="0" w:space="0" w:color="auto"/>
          </w:divBdr>
        </w:div>
        <w:div w:id="1696733348">
          <w:marLeft w:val="0"/>
          <w:marRight w:val="0"/>
          <w:marTop w:val="58"/>
          <w:marBottom w:val="92"/>
          <w:divBdr>
            <w:top w:val="none" w:sz="0" w:space="0" w:color="auto"/>
            <w:left w:val="none" w:sz="0" w:space="0" w:color="auto"/>
            <w:bottom w:val="none" w:sz="0" w:space="0" w:color="auto"/>
            <w:right w:val="none" w:sz="0" w:space="0" w:color="auto"/>
          </w:divBdr>
        </w:div>
        <w:div w:id="1444767311">
          <w:marLeft w:val="0"/>
          <w:marRight w:val="0"/>
          <w:marTop w:val="58"/>
          <w:marBottom w:val="92"/>
          <w:divBdr>
            <w:top w:val="none" w:sz="0" w:space="0" w:color="auto"/>
            <w:left w:val="none" w:sz="0" w:space="0" w:color="auto"/>
            <w:bottom w:val="none" w:sz="0" w:space="0" w:color="auto"/>
            <w:right w:val="none" w:sz="0" w:space="0" w:color="auto"/>
          </w:divBdr>
        </w:div>
        <w:div w:id="178855521">
          <w:marLeft w:val="0"/>
          <w:marRight w:val="0"/>
          <w:marTop w:val="58"/>
          <w:marBottom w:val="92"/>
          <w:divBdr>
            <w:top w:val="none" w:sz="0" w:space="0" w:color="auto"/>
            <w:left w:val="none" w:sz="0" w:space="0" w:color="auto"/>
            <w:bottom w:val="none" w:sz="0" w:space="0" w:color="auto"/>
            <w:right w:val="none" w:sz="0" w:space="0" w:color="auto"/>
          </w:divBdr>
        </w:div>
        <w:div w:id="112141604">
          <w:marLeft w:val="0"/>
          <w:marRight w:val="0"/>
          <w:marTop w:val="58"/>
          <w:marBottom w:val="92"/>
          <w:divBdr>
            <w:top w:val="none" w:sz="0" w:space="0" w:color="auto"/>
            <w:left w:val="none" w:sz="0" w:space="0" w:color="auto"/>
            <w:bottom w:val="none" w:sz="0" w:space="0" w:color="auto"/>
            <w:right w:val="none" w:sz="0" w:space="0" w:color="auto"/>
          </w:divBdr>
        </w:div>
        <w:div w:id="1594626557">
          <w:marLeft w:val="0"/>
          <w:marRight w:val="0"/>
          <w:marTop w:val="58"/>
          <w:marBottom w:val="92"/>
          <w:divBdr>
            <w:top w:val="none" w:sz="0" w:space="0" w:color="auto"/>
            <w:left w:val="none" w:sz="0" w:space="0" w:color="auto"/>
            <w:bottom w:val="none" w:sz="0" w:space="0" w:color="auto"/>
            <w:right w:val="none" w:sz="0" w:space="0" w:color="auto"/>
          </w:divBdr>
        </w:div>
        <w:div w:id="1899129666">
          <w:marLeft w:val="0"/>
          <w:marRight w:val="0"/>
          <w:marTop w:val="0"/>
          <w:marBottom w:val="101"/>
          <w:divBdr>
            <w:top w:val="none" w:sz="0" w:space="0" w:color="auto"/>
            <w:left w:val="none" w:sz="0" w:space="0" w:color="auto"/>
            <w:bottom w:val="none" w:sz="0" w:space="0" w:color="auto"/>
            <w:right w:val="none" w:sz="0" w:space="0" w:color="auto"/>
          </w:divBdr>
        </w:div>
        <w:div w:id="1799836796">
          <w:marLeft w:val="900"/>
          <w:marRight w:val="0"/>
          <w:marTop w:val="0"/>
          <w:marBottom w:val="101"/>
          <w:divBdr>
            <w:top w:val="none" w:sz="0" w:space="0" w:color="auto"/>
            <w:left w:val="none" w:sz="0" w:space="0" w:color="auto"/>
            <w:bottom w:val="none" w:sz="0" w:space="0" w:color="auto"/>
            <w:right w:val="none" w:sz="0" w:space="0" w:color="auto"/>
          </w:divBdr>
        </w:div>
        <w:div w:id="924655290">
          <w:marLeft w:val="900"/>
          <w:marRight w:val="0"/>
          <w:marTop w:val="0"/>
          <w:marBottom w:val="101"/>
          <w:divBdr>
            <w:top w:val="none" w:sz="0" w:space="0" w:color="auto"/>
            <w:left w:val="none" w:sz="0" w:space="0" w:color="auto"/>
            <w:bottom w:val="none" w:sz="0" w:space="0" w:color="auto"/>
            <w:right w:val="none" w:sz="0" w:space="0" w:color="auto"/>
          </w:divBdr>
        </w:div>
        <w:div w:id="1285430501">
          <w:marLeft w:val="900"/>
          <w:marRight w:val="0"/>
          <w:marTop w:val="0"/>
          <w:marBottom w:val="101"/>
          <w:divBdr>
            <w:top w:val="none" w:sz="0" w:space="0" w:color="auto"/>
            <w:left w:val="none" w:sz="0" w:space="0" w:color="auto"/>
            <w:bottom w:val="none" w:sz="0" w:space="0" w:color="auto"/>
            <w:right w:val="none" w:sz="0" w:space="0" w:color="auto"/>
          </w:divBdr>
        </w:div>
        <w:div w:id="500239661">
          <w:marLeft w:val="900"/>
          <w:marRight w:val="0"/>
          <w:marTop w:val="0"/>
          <w:marBottom w:val="101"/>
          <w:divBdr>
            <w:top w:val="none" w:sz="0" w:space="0" w:color="auto"/>
            <w:left w:val="none" w:sz="0" w:space="0" w:color="auto"/>
            <w:bottom w:val="none" w:sz="0" w:space="0" w:color="auto"/>
            <w:right w:val="none" w:sz="0" w:space="0" w:color="auto"/>
          </w:divBdr>
        </w:div>
        <w:div w:id="34427594">
          <w:marLeft w:val="907"/>
          <w:marRight w:val="0"/>
          <w:marTop w:val="0"/>
          <w:marBottom w:val="101"/>
          <w:divBdr>
            <w:top w:val="none" w:sz="0" w:space="0" w:color="auto"/>
            <w:left w:val="none" w:sz="0" w:space="0" w:color="auto"/>
            <w:bottom w:val="none" w:sz="0" w:space="0" w:color="auto"/>
            <w:right w:val="none" w:sz="0" w:space="0" w:color="auto"/>
          </w:divBdr>
        </w:div>
        <w:div w:id="813369709">
          <w:marLeft w:val="907"/>
          <w:marRight w:val="0"/>
          <w:marTop w:val="0"/>
          <w:marBottom w:val="101"/>
          <w:divBdr>
            <w:top w:val="none" w:sz="0" w:space="0" w:color="auto"/>
            <w:left w:val="none" w:sz="0" w:space="0" w:color="auto"/>
            <w:bottom w:val="none" w:sz="0" w:space="0" w:color="auto"/>
            <w:right w:val="none" w:sz="0" w:space="0" w:color="auto"/>
          </w:divBdr>
        </w:div>
        <w:div w:id="678698365">
          <w:marLeft w:val="907"/>
          <w:marRight w:val="0"/>
          <w:marTop w:val="0"/>
          <w:marBottom w:val="101"/>
          <w:divBdr>
            <w:top w:val="none" w:sz="0" w:space="0" w:color="auto"/>
            <w:left w:val="none" w:sz="0" w:space="0" w:color="auto"/>
            <w:bottom w:val="none" w:sz="0" w:space="0" w:color="auto"/>
            <w:right w:val="none" w:sz="0" w:space="0" w:color="auto"/>
          </w:divBdr>
        </w:div>
        <w:div w:id="1155561506">
          <w:marLeft w:val="0"/>
          <w:marRight w:val="0"/>
          <w:marTop w:val="0"/>
          <w:marBottom w:val="101"/>
          <w:divBdr>
            <w:top w:val="none" w:sz="0" w:space="0" w:color="auto"/>
            <w:left w:val="none" w:sz="0" w:space="0" w:color="auto"/>
            <w:bottom w:val="none" w:sz="0" w:space="0" w:color="auto"/>
            <w:right w:val="none" w:sz="0" w:space="0" w:color="auto"/>
          </w:divBdr>
        </w:div>
        <w:div w:id="1776827133">
          <w:marLeft w:val="0"/>
          <w:marRight w:val="0"/>
          <w:marTop w:val="0"/>
          <w:marBottom w:val="101"/>
          <w:divBdr>
            <w:top w:val="none" w:sz="0" w:space="0" w:color="auto"/>
            <w:left w:val="none" w:sz="0" w:space="0" w:color="auto"/>
            <w:bottom w:val="none" w:sz="0" w:space="0" w:color="auto"/>
            <w:right w:val="none" w:sz="0" w:space="0" w:color="auto"/>
          </w:divBdr>
        </w:div>
        <w:div w:id="212355206">
          <w:marLeft w:val="0"/>
          <w:marRight w:val="0"/>
          <w:marTop w:val="0"/>
          <w:marBottom w:val="101"/>
          <w:divBdr>
            <w:top w:val="none" w:sz="0" w:space="0" w:color="auto"/>
            <w:left w:val="none" w:sz="0" w:space="0" w:color="auto"/>
            <w:bottom w:val="none" w:sz="0" w:space="0" w:color="auto"/>
            <w:right w:val="none" w:sz="0" w:space="0" w:color="auto"/>
          </w:divBdr>
        </w:div>
        <w:div w:id="1326395817">
          <w:marLeft w:val="0"/>
          <w:marRight w:val="0"/>
          <w:marTop w:val="0"/>
          <w:marBottom w:val="101"/>
          <w:divBdr>
            <w:top w:val="none" w:sz="0" w:space="0" w:color="auto"/>
            <w:left w:val="none" w:sz="0" w:space="0" w:color="auto"/>
            <w:bottom w:val="none" w:sz="0" w:space="0" w:color="auto"/>
            <w:right w:val="none" w:sz="0" w:space="0" w:color="auto"/>
          </w:divBdr>
        </w:div>
        <w:div w:id="1042680467">
          <w:marLeft w:val="0"/>
          <w:marRight w:val="0"/>
          <w:marTop w:val="0"/>
          <w:marBottom w:val="101"/>
          <w:divBdr>
            <w:top w:val="none" w:sz="0" w:space="0" w:color="auto"/>
            <w:left w:val="none" w:sz="0" w:space="0" w:color="auto"/>
            <w:bottom w:val="none" w:sz="0" w:space="0" w:color="auto"/>
            <w:right w:val="none" w:sz="0" w:space="0" w:color="auto"/>
          </w:divBdr>
        </w:div>
        <w:div w:id="1046947098">
          <w:marLeft w:val="0"/>
          <w:marRight w:val="0"/>
          <w:marTop w:val="0"/>
          <w:marBottom w:val="101"/>
          <w:divBdr>
            <w:top w:val="none" w:sz="0" w:space="0" w:color="auto"/>
            <w:left w:val="none" w:sz="0" w:space="0" w:color="auto"/>
            <w:bottom w:val="none" w:sz="0" w:space="0" w:color="auto"/>
            <w:right w:val="none" w:sz="0" w:space="0" w:color="auto"/>
          </w:divBdr>
        </w:div>
        <w:div w:id="1985355017">
          <w:marLeft w:val="0"/>
          <w:marRight w:val="0"/>
          <w:marTop w:val="0"/>
          <w:marBottom w:val="101"/>
          <w:divBdr>
            <w:top w:val="none" w:sz="0" w:space="0" w:color="auto"/>
            <w:left w:val="none" w:sz="0" w:space="0" w:color="auto"/>
            <w:bottom w:val="none" w:sz="0" w:space="0" w:color="auto"/>
            <w:right w:val="none" w:sz="0" w:space="0" w:color="auto"/>
          </w:divBdr>
        </w:div>
        <w:div w:id="1984650731">
          <w:marLeft w:val="0"/>
          <w:marRight w:val="0"/>
          <w:marTop w:val="0"/>
          <w:marBottom w:val="101"/>
          <w:divBdr>
            <w:top w:val="none" w:sz="0" w:space="0" w:color="auto"/>
            <w:left w:val="none" w:sz="0" w:space="0" w:color="auto"/>
            <w:bottom w:val="none" w:sz="0" w:space="0" w:color="auto"/>
            <w:right w:val="none" w:sz="0" w:space="0" w:color="auto"/>
          </w:divBdr>
        </w:div>
        <w:div w:id="553927518">
          <w:marLeft w:val="0"/>
          <w:marRight w:val="0"/>
          <w:marTop w:val="0"/>
          <w:marBottom w:val="101"/>
          <w:divBdr>
            <w:top w:val="none" w:sz="0" w:space="0" w:color="auto"/>
            <w:left w:val="none" w:sz="0" w:space="0" w:color="auto"/>
            <w:bottom w:val="none" w:sz="0" w:space="0" w:color="auto"/>
            <w:right w:val="none" w:sz="0" w:space="0" w:color="auto"/>
          </w:divBdr>
        </w:div>
        <w:div w:id="255871363">
          <w:marLeft w:val="0"/>
          <w:marRight w:val="0"/>
          <w:marTop w:val="0"/>
          <w:marBottom w:val="101"/>
          <w:divBdr>
            <w:top w:val="none" w:sz="0" w:space="0" w:color="auto"/>
            <w:left w:val="none" w:sz="0" w:space="0" w:color="auto"/>
            <w:bottom w:val="none" w:sz="0" w:space="0" w:color="auto"/>
            <w:right w:val="none" w:sz="0" w:space="0" w:color="auto"/>
          </w:divBdr>
        </w:div>
        <w:div w:id="1302080823">
          <w:marLeft w:val="0"/>
          <w:marRight w:val="0"/>
          <w:marTop w:val="0"/>
          <w:marBottom w:val="101"/>
          <w:divBdr>
            <w:top w:val="none" w:sz="0" w:space="0" w:color="auto"/>
            <w:left w:val="none" w:sz="0" w:space="0" w:color="auto"/>
            <w:bottom w:val="none" w:sz="0" w:space="0" w:color="auto"/>
            <w:right w:val="none" w:sz="0" w:space="0" w:color="auto"/>
          </w:divBdr>
        </w:div>
        <w:div w:id="1824664327">
          <w:marLeft w:val="0"/>
          <w:marRight w:val="0"/>
          <w:marTop w:val="0"/>
          <w:marBottom w:val="101"/>
          <w:divBdr>
            <w:top w:val="none" w:sz="0" w:space="0" w:color="auto"/>
            <w:left w:val="none" w:sz="0" w:space="0" w:color="auto"/>
            <w:bottom w:val="none" w:sz="0" w:space="0" w:color="auto"/>
            <w:right w:val="none" w:sz="0" w:space="0" w:color="auto"/>
          </w:divBdr>
        </w:div>
        <w:div w:id="908538454">
          <w:marLeft w:val="0"/>
          <w:marRight w:val="0"/>
          <w:marTop w:val="0"/>
          <w:marBottom w:val="101"/>
          <w:divBdr>
            <w:top w:val="none" w:sz="0" w:space="0" w:color="auto"/>
            <w:left w:val="none" w:sz="0" w:space="0" w:color="auto"/>
            <w:bottom w:val="none" w:sz="0" w:space="0" w:color="auto"/>
            <w:right w:val="none" w:sz="0" w:space="0" w:color="auto"/>
          </w:divBdr>
        </w:div>
        <w:div w:id="892933006">
          <w:marLeft w:val="0"/>
          <w:marRight w:val="0"/>
          <w:marTop w:val="0"/>
          <w:marBottom w:val="101"/>
          <w:divBdr>
            <w:top w:val="none" w:sz="0" w:space="0" w:color="auto"/>
            <w:left w:val="none" w:sz="0" w:space="0" w:color="auto"/>
            <w:bottom w:val="none" w:sz="0" w:space="0" w:color="auto"/>
            <w:right w:val="none" w:sz="0" w:space="0" w:color="auto"/>
          </w:divBdr>
        </w:div>
        <w:div w:id="1108547758">
          <w:marLeft w:val="0"/>
          <w:marRight w:val="0"/>
          <w:marTop w:val="0"/>
          <w:marBottom w:val="101"/>
          <w:divBdr>
            <w:top w:val="none" w:sz="0" w:space="0" w:color="auto"/>
            <w:left w:val="none" w:sz="0" w:space="0" w:color="auto"/>
            <w:bottom w:val="none" w:sz="0" w:space="0" w:color="auto"/>
            <w:right w:val="none" w:sz="0" w:space="0" w:color="auto"/>
          </w:divBdr>
        </w:div>
        <w:div w:id="1212108014">
          <w:marLeft w:val="0"/>
          <w:marRight w:val="0"/>
          <w:marTop w:val="0"/>
          <w:marBottom w:val="101"/>
          <w:divBdr>
            <w:top w:val="none" w:sz="0" w:space="0" w:color="auto"/>
            <w:left w:val="none" w:sz="0" w:space="0" w:color="auto"/>
            <w:bottom w:val="none" w:sz="0" w:space="0" w:color="auto"/>
            <w:right w:val="none" w:sz="0" w:space="0" w:color="auto"/>
          </w:divBdr>
        </w:div>
        <w:div w:id="1498499752">
          <w:marLeft w:val="0"/>
          <w:marRight w:val="0"/>
          <w:marTop w:val="0"/>
          <w:marBottom w:val="101"/>
          <w:divBdr>
            <w:top w:val="none" w:sz="0" w:space="0" w:color="auto"/>
            <w:left w:val="none" w:sz="0" w:space="0" w:color="auto"/>
            <w:bottom w:val="none" w:sz="0" w:space="0" w:color="auto"/>
            <w:right w:val="none" w:sz="0" w:space="0" w:color="auto"/>
          </w:divBdr>
        </w:div>
        <w:div w:id="557013117">
          <w:marLeft w:val="0"/>
          <w:marRight w:val="0"/>
          <w:marTop w:val="0"/>
          <w:marBottom w:val="101"/>
          <w:divBdr>
            <w:top w:val="none" w:sz="0" w:space="0" w:color="auto"/>
            <w:left w:val="none" w:sz="0" w:space="0" w:color="auto"/>
            <w:bottom w:val="none" w:sz="0" w:space="0" w:color="auto"/>
            <w:right w:val="none" w:sz="0" w:space="0" w:color="auto"/>
          </w:divBdr>
        </w:div>
        <w:div w:id="1651251250">
          <w:marLeft w:val="0"/>
          <w:marRight w:val="0"/>
          <w:marTop w:val="0"/>
          <w:marBottom w:val="101"/>
          <w:divBdr>
            <w:top w:val="none" w:sz="0" w:space="0" w:color="auto"/>
            <w:left w:val="none" w:sz="0" w:space="0" w:color="auto"/>
            <w:bottom w:val="none" w:sz="0" w:space="0" w:color="auto"/>
            <w:right w:val="none" w:sz="0" w:space="0" w:color="auto"/>
          </w:divBdr>
        </w:div>
        <w:div w:id="1002977879">
          <w:marLeft w:val="0"/>
          <w:marRight w:val="0"/>
          <w:marTop w:val="0"/>
          <w:marBottom w:val="101"/>
          <w:divBdr>
            <w:top w:val="none" w:sz="0" w:space="0" w:color="auto"/>
            <w:left w:val="none" w:sz="0" w:space="0" w:color="auto"/>
            <w:bottom w:val="none" w:sz="0" w:space="0" w:color="auto"/>
            <w:right w:val="none" w:sz="0" w:space="0" w:color="auto"/>
          </w:divBdr>
        </w:div>
        <w:div w:id="1900558338">
          <w:marLeft w:val="0"/>
          <w:marRight w:val="0"/>
          <w:marTop w:val="0"/>
          <w:marBottom w:val="101"/>
          <w:divBdr>
            <w:top w:val="none" w:sz="0" w:space="0" w:color="auto"/>
            <w:left w:val="none" w:sz="0" w:space="0" w:color="auto"/>
            <w:bottom w:val="none" w:sz="0" w:space="0" w:color="auto"/>
            <w:right w:val="none" w:sz="0" w:space="0" w:color="auto"/>
          </w:divBdr>
        </w:div>
        <w:div w:id="966163868">
          <w:marLeft w:val="0"/>
          <w:marRight w:val="0"/>
          <w:marTop w:val="0"/>
          <w:marBottom w:val="101"/>
          <w:divBdr>
            <w:top w:val="none" w:sz="0" w:space="0" w:color="auto"/>
            <w:left w:val="none" w:sz="0" w:space="0" w:color="auto"/>
            <w:bottom w:val="none" w:sz="0" w:space="0" w:color="auto"/>
            <w:right w:val="none" w:sz="0" w:space="0" w:color="auto"/>
          </w:divBdr>
        </w:div>
        <w:div w:id="36515647">
          <w:marLeft w:val="0"/>
          <w:marRight w:val="0"/>
          <w:marTop w:val="0"/>
          <w:marBottom w:val="101"/>
          <w:divBdr>
            <w:top w:val="none" w:sz="0" w:space="0" w:color="auto"/>
            <w:left w:val="none" w:sz="0" w:space="0" w:color="auto"/>
            <w:bottom w:val="none" w:sz="0" w:space="0" w:color="auto"/>
            <w:right w:val="none" w:sz="0" w:space="0" w:color="auto"/>
          </w:divBdr>
        </w:div>
        <w:div w:id="426115679">
          <w:marLeft w:val="0"/>
          <w:marRight w:val="0"/>
          <w:marTop w:val="0"/>
          <w:marBottom w:val="101"/>
          <w:divBdr>
            <w:top w:val="none" w:sz="0" w:space="0" w:color="auto"/>
            <w:left w:val="none" w:sz="0" w:space="0" w:color="auto"/>
            <w:bottom w:val="none" w:sz="0" w:space="0" w:color="auto"/>
            <w:right w:val="none" w:sz="0" w:space="0" w:color="auto"/>
          </w:divBdr>
        </w:div>
        <w:div w:id="628978386">
          <w:marLeft w:val="0"/>
          <w:marRight w:val="0"/>
          <w:marTop w:val="0"/>
          <w:marBottom w:val="101"/>
          <w:divBdr>
            <w:top w:val="none" w:sz="0" w:space="0" w:color="auto"/>
            <w:left w:val="none" w:sz="0" w:space="0" w:color="auto"/>
            <w:bottom w:val="none" w:sz="0" w:space="0" w:color="auto"/>
            <w:right w:val="none" w:sz="0" w:space="0" w:color="auto"/>
          </w:divBdr>
        </w:div>
        <w:div w:id="134103859">
          <w:marLeft w:val="0"/>
          <w:marRight w:val="0"/>
          <w:marTop w:val="0"/>
          <w:marBottom w:val="101"/>
          <w:divBdr>
            <w:top w:val="none" w:sz="0" w:space="0" w:color="auto"/>
            <w:left w:val="none" w:sz="0" w:space="0" w:color="auto"/>
            <w:bottom w:val="none" w:sz="0" w:space="0" w:color="auto"/>
            <w:right w:val="none" w:sz="0" w:space="0" w:color="auto"/>
          </w:divBdr>
        </w:div>
        <w:div w:id="133840635">
          <w:marLeft w:val="0"/>
          <w:marRight w:val="0"/>
          <w:marTop w:val="0"/>
          <w:marBottom w:val="101"/>
          <w:divBdr>
            <w:top w:val="none" w:sz="0" w:space="0" w:color="auto"/>
            <w:left w:val="none" w:sz="0" w:space="0" w:color="auto"/>
            <w:bottom w:val="none" w:sz="0" w:space="0" w:color="auto"/>
            <w:right w:val="none" w:sz="0" w:space="0" w:color="auto"/>
          </w:divBdr>
        </w:div>
        <w:div w:id="1027213557">
          <w:marLeft w:val="0"/>
          <w:marRight w:val="0"/>
          <w:marTop w:val="0"/>
          <w:marBottom w:val="101"/>
          <w:divBdr>
            <w:top w:val="none" w:sz="0" w:space="0" w:color="auto"/>
            <w:left w:val="none" w:sz="0" w:space="0" w:color="auto"/>
            <w:bottom w:val="none" w:sz="0" w:space="0" w:color="auto"/>
            <w:right w:val="none" w:sz="0" w:space="0" w:color="auto"/>
          </w:divBdr>
        </w:div>
        <w:div w:id="911044657">
          <w:marLeft w:val="0"/>
          <w:marRight w:val="0"/>
          <w:marTop w:val="0"/>
          <w:marBottom w:val="101"/>
          <w:divBdr>
            <w:top w:val="none" w:sz="0" w:space="0" w:color="auto"/>
            <w:left w:val="none" w:sz="0" w:space="0" w:color="auto"/>
            <w:bottom w:val="none" w:sz="0" w:space="0" w:color="auto"/>
            <w:right w:val="none" w:sz="0" w:space="0" w:color="auto"/>
          </w:divBdr>
        </w:div>
        <w:div w:id="512112447">
          <w:marLeft w:val="0"/>
          <w:marRight w:val="0"/>
          <w:marTop w:val="0"/>
          <w:marBottom w:val="101"/>
          <w:divBdr>
            <w:top w:val="none" w:sz="0" w:space="0" w:color="auto"/>
            <w:left w:val="none" w:sz="0" w:space="0" w:color="auto"/>
            <w:bottom w:val="none" w:sz="0" w:space="0" w:color="auto"/>
            <w:right w:val="none" w:sz="0" w:space="0" w:color="auto"/>
          </w:divBdr>
        </w:div>
        <w:div w:id="40980138">
          <w:marLeft w:val="0"/>
          <w:marRight w:val="0"/>
          <w:marTop w:val="0"/>
          <w:marBottom w:val="101"/>
          <w:divBdr>
            <w:top w:val="none" w:sz="0" w:space="0" w:color="auto"/>
            <w:left w:val="none" w:sz="0" w:space="0" w:color="auto"/>
            <w:bottom w:val="none" w:sz="0" w:space="0" w:color="auto"/>
            <w:right w:val="none" w:sz="0" w:space="0" w:color="auto"/>
          </w:divBdr>
        </w:div>
        <w:div w:id="1716806884">
          <w:marLeft w:val="0"/>
          <w:marRight w:val="0"/>
          <w:marTop w:val="0"/>
          <w:marBottom w:val="101"/>
          <w:divBdr>
            <w:top w:val="none" w:sz="0" w:space="0" w:color="auto"/>
            <w:left w:val="none" w:sz="0" w:space="0" w:color="auto"/>
            <w:bottom w:val="none" w:sz="0" w:space="0" w:color="auto"/>
            <w:right w:val="none" w:sz="0" w:space="0" w:color="auto"/>
          </w:divBdr>
        </w:div>
        <w:div w:id="829953325">
          <w:marLeft w:val="0"/>
          <w:marRight w:val="0"/>
          <w:marTop w:val="0"/>
          <w:marBottom w:val="101"/>
          <w:divBdr>
            <w:top w:val="none" w:sz="0" w:space="0" w:color="auto"/>
            <w:left w:val="none" w:sz="0" w:space="0" w:color="auto"/>
            <w:bottom w:val="none" w:sz="0" w:space="0" w:color="auto"/>
            <w:right w:val="none" w:sz="0" w:space="0" w:color="auto"/>
          </w:divBdr>
        </w:div>
        <w:div w:id="1956060768">
          <w:marLeft w:val="0"/>
          <w:marRight w:val="0"/>
          <w:marTop w:val="0"/>
          <w:marBottom w:val="101"/>
          <w:divBdr>
            <w:top w:val="none" w:sz="0" w:space="0" w:color="auto"/>
            <w:left w:val="none" w:sz="0" w:space="0" w:color="auto"/>
            <w:bottom w:val="none" w:sz="0" w:space="0" w:color="auto"/>
            <w:right w:val="none" w:sz="0" w:space="0" w:color="auto"/>
          </w:divBdr>
        </w:div>
        <w:div w:id="1584678008">
          <w:marLeft w:val="0"/>
          <w:marRight w:val="0"/>
          <w:marTop w:val="0"/>
          <w:marBottom w:val="101"/>
          <w:divBdr>
            <w:top w:val="none" w:sz="0" w:space="0" w:color="auto"/>
            <w:left w:val="none" w:sz="0" w:space="0" w:color="auto"/>
            <w:bottom w:val="none" w:sz="0" w:space="0" w:color="auto"/>
            <w:right w:val="none" w:sz="0" w:space="0" w:color="auto"/>
          </w:divBdr>
        </w:div>
        <w:div w:id="1403600589">
          <w:marLeft w:val="0"/>
          <w:marRight w:val="0"/>
          <w:marTop w:val="0"/>
          <w:marBottom w:val="101"/>
          <w:divBdr>
            <w:top w:val="none" w:sz="0" w:space="0" w:color="auto"/>
            <w:left w:val="none" w:sz="0" w:space="0" w:color="auto"/>
            <w:bottom w:val="none" w:sz="0" w:space="0" w:color="auto"/>
            <w:right w:val="none" w:sz="0" w:space="0" w:color="auto"/>
          </w:divBdr>
        </w:div>
        <w:div w:id="1440832424">
          <w:marLeft w:val="0"/>
          <w:marRight w:val="0"/>
          <w:marTop w:val="0"/>
          <w:marBottom w:val="101"/>
          <w:divBdr>
            <w:top w:val="none" w:sz="0" w:space="0" w:color="auto"/>
            <w:left w:val="none" w:sz="0" w:space="0" w:color="auto"/>
            <w:bottom w:val="none" w:sz="0" w:space="0" w:color="auto"/>
            <w:right w:val="none" w:sz="0" w:space="0" w:color="auto"/>
          </w:divBdr>
        </w:div>
        <w:div w:id="1893955714">
          <w:marLeft w:val="0"/>
          <w:marRight w:val="0"/>
          <w:marTop w:val="0"/>
          <w:marBottom w:val="101"/>
          <w:divBdr>
            <w:top w:val="none" w:sz="0" w:space="0" w:color="auto"/>
            <w:left w:val="none" w:sz="0" w:space="0" w:color="auto"/>
            <w:bottom w:val="none" w:sz="0" w:space="0" w:color="auto"/>
            <w:right w:val="none" w:sz="0" w:space="0" w:color="auto"/>
          </w:divBdr>
        </w:div>
        <w:div w:id="577134624">
          <w:marLeft w:val="0"/>
          <w:marRight w:val="0"/>
          <w:marTop w:val="0"/>
          <w:marBottom w:val="101"/>
          <w:divBdr>
            <w:top w:val="none" w:sz="0" w:space="0" w:color="auto"/>
            <w:left w:val="none" w:sz="0" w:space="0" w:color="auto"/>
            <w:bottom w:val="none" w:sz="0" w:space="0" w:color="auto"/>
            <w:right w:val="none" w:sz="0" w:space="0" w:color="auto"/>
          </w:divBdr>
        </w:div>
        <w:div w:id="1206256529">
          <w:marLeft w:val="0"/>
          <w:marRight w:val="0"/>
          <w:marTop w:val="0"/>
          <w:marBottom w:val="101"/>
          <w:divBdr>
            <w:top w:val="none" w:sz="0" w:space="0" w:color="auto"/>
            <w:left w:val="none" w:sz="0" w:space="0" w:color="auto"/>
            <w:bottom w:val="none" w:sz="0" w:space="0" w:color="auto"/>
            <w:right w:val="none" w:sz="0" w:space="0" w:color="auto"/>
          </w:divBdr>
        </w:div>
        <w:div w:id="1771584822">
          <w:marLeft w:val="0"/>
          <w:marRight w:val="0"/>
          <w:marTop w:val="0"/>
          <w:marBottom w:val="101"/>
          <w:divBdr>
            <w:top w:val="none" w:sz="0" w:space="0" w:color="auto"/>
            <w:left w:val="none" w:sz="0" w:space="0" w:color="auto"/>
            <w:bottom w:val="none" w:sz="0" w:space="0" w:color="auto"/>
            <w:right w:val="none" w:sz="0" w:space="0" w:color="auto"/>
          </w:divBdr>
        </w:div>
        <w:div w:id="1817333660">
          <w:marLeft w:val="0"/>
          <w:marRight w:val="0"/>
          <w:marTop w:val="0"/>
          <w:marBottom w:val="101"/>
          <w:divBdr>
            <w:top w:val="none" w:sz="0" w:space="0" w:color="auto"/>
            <w:left w:val="none" w:sz="0" w:space="0" w:color="auto"/>
            <w:bottom w:val="none" w:sz="0" w:space="0" w:color="auto"/>
            <w:right w:val="none" w:sz="0" w:space="0" w:color="auto"/>
          </w:divBdr>
        </w:div>
        <w:div w:id="1345473196">
          <w:marLeft w:val="0"/>
          <w:marRight w:val="0"/>
          <w:marTop w:val="0"/>
          <w:marBottom w:val="101"/>
          <w:divBdr>
            <w:top w:val="none" w:sz="0" w:space="0" w:color="auto"/>
            <w:left w:val="none" w:sz="0" w:space="0" w:color="auto"/>
            <w:bottom w:val="none" w:sz="0" w:space="0" w:color="auto"/>
            <w:right w:val="none" w:sz="0" w:space="0" w:color="auto"/>
          </w:divBdr>
        </w:div>
        <w:div w:id="1037782512">
          <w:marLeft w:val="900"/>
          <w:marRight w:val="0"/>
          <w:marTop w:val="0"/>
          <w:marBottom w:val="101"/>
          <w:divBdr>
            <w:top w:val="none" w:sz="0" w:space="0" w:color="auto"/>
            <w:left w:val="none" w:sz="0" w:space="0" w:color="auto"/>
            <w:bottom w:val="none" w:sz="0" w:space="0" w:color="auto"/>
            <w:right w:val="none" w:sz="0" w:space="0" w:color="auto"/>
          </w:divBdr>
        </w:div>
        <w:div w:id="221252638">
          <w:marLeft w:val="0"/>
          <w:marRight w:val="0"/>
          <w:marTop w:val="0"/>
          <w:marBottom w:val="101"/>
          <w:divBdr>
            <w:top w:val="none" w:sz="0" w:space="0" w:color="auto"/>
            <w:left w:val="none" w:sz="0" w:space="0" w:color="auto"/>
            <w:bottom w:val="none" w:sz="0" w:space="0" w:color="auto"/>
            <w:right w:val="none" w:sz="0" w:space="0" w:color="auto"/>
          </w:divBdr>
        </w:div>
        <w:div w:id="1443380541">
          <w:marLeft w:val="0"/>
          <w:marRight w:val="0"/>
          <w:marTop w:val="0"/>
          <w:marBottom w:val="101"/>
          <w:divBdr>
            <w:top w:val="none" w:sz="0" w:space="0" w:color="auto"/>
            <w:left w:val="none" w:sz="0" w:space="0" w:color="auto"/>
            <w:bottom w:val="none" w:sz="0" w:space="0" w:color="auto"/>
            <w:right w:val="none" w:sz="0" w:space="0" w:color="auto"/>
          </w:divBdr>
        </w:div>
        <w:div w:id="1991790864">
          <w:marLeft w:val="0"/>
          <w:marRight w:val="0"/>
          <w:marTop w:val="0"/>
          <w:marBottom w:val="101"/>
          <w:divBdr>
            <w:top w:val="none" w:sz="0" w:space="0" w:color="auto"/>
            <w:left w:val="none" w:sz="0" w:space="0" w:color="auto"/>
            <w:bottom w:val="none" w:sz="0" w:space="0" w:color="auto"/>
            <w:right w:val="none" w:sz="0" w:space="0" w:color="auto"/>
          </w:divBdr>
        </w:div>
        <w:div w:id="1701128706">
          <w:marLeft w:val="0"/>
          <w:marRight w:val="0"/>
          <w:marTop w:val="0"/>
          <w:marBottom w:val="101"/>
          <w:divBdr>
            <w:top w:val="none" w:sz="0" w:space="0" w:color="auto"/>
            <w:left w:val="none" w:sz="0" w:space="0" w:color="auto"/>
            <w:bottom w:val="none" w:sz="0" w:space="0" w:color="auto"/>
            <w:right w:val="none" w:sz="0" w:space="0" w:color="auto"/>
          </w:divBdr>
        </w:div>
        <w:div w:id="800221914">
          <w:marLeft w:val="0"/>
          <w:marRight w:val="0"/>
          <w:marTop w:val="0"/>
          <w:marBottom w:val="101"/>
          <w:divBdr>
            <w:top w:val="none" w:sz="0" w:space="0" w:color="auto"/>
            <w:left w:val="none" w:sz="0" w:space="0" w:color="auto"/>
            <w:bottom w:val="none" w:sz="0" w:space="0" w:color="auto"/>
            <w:right w:val="none" w:sz="0" w:space="0" w:color="auto"/>
          </w:divBdr>
        </w:div>
        <w:div w:id="1214583205">
          <w:marLeft w:val="0"/>
          <w:marRight w:val="0"/>
          <w:marTop w:val="0"/>
          <w:marBottom w:val="101"/>
          <w:divBdr>
            <w:top w:val="none" w:sz="0" w:space="0" w:color="auto"/>
            <w:left w:val="none" w:sz="0" w:space="0" w:color="auto"/>
            <w:bottom w:val="none" w:sz="0" w:space="0" w:color="auto"/>
            <w:right w:val="none" w:sz="0" w:space="0" w:color="auto"/>
          </w:divBdr>
        </w:div>
        <w:div w:id="2052225494">
          <w:marLeft w:val="0"/>
          <w:marRight w:val="0"/>
          <w:marTop w:val="0"/>
          <w:marBottom w:val="101"/>
          <w:divBdr>
            <w:top w:val="none" w:sz="0" w:space="0" w:color="auto"/>
            <w:left w:val="none" w:sz="0" w:space="0" w:color="auto"/>
            <w:bottom w:val="none" w:sz="0" w:space="0" w:color="auto"/>
            <w:right w:val="none" w:sz="0" w:space="0" w:color="auto"/>
          </w:divBdr>
        </w:div>
        <w:div w:id="778330262">
          <w:marLeft w:val="0"/>
          <w:marRight w:val="0"/>
          <w:marTop w:val="0"/>
          <w:marBottom w:val="101"/>
          <w:divBdr>
            <w:top w:val="none" w:sz="0" w:space="0" w:color="auto"/>
            <w:left w:val="none" w:sz="0" w:space="0" w:color="auto"/>
            <w:bottom w:val="none" w:sz="0" w:space="0" w:color="auto"/>
            <w:right w:val="none" w:sz="0" w:space="0" w:color="auto"/>
          </w:divBdr>
        </w:div>
        <w:div w:id="1916739050">
          <w:marLeft w:val="0"/>
          <w:marRight w:val="0"/>
          <w:marTop w:val="0"/>
          <w:marBottom w:val="101"/>
          <w:divBdr>
            <w:top w:val="none" w:sz="0" w:space="0" w:color="auto"/>
            <w:left w:val="none" w:sz="0" w:space="0" w:color="auto"/>
            <w:bottom w:val="none" w:sz="0" w:space="0" w:color="auto"/>
            <w:right w:val="none" w:sz="0" w:space="0" w:color="auto"/>
          </w:divBdr>
        </w:div>
        <w:div w:id="1005521302">
          <w:marLeft w:val="0"/>
          <w:marRight w:val="0"/>
          <w:marTop w:val="0"/>
          <w:marBottom w:val="101"/>
          <w:divBdr>
            <w:top w:val="none" w:sz="0" w:space="0" w:color="auto"/>
            <w:left w:val="none" w:sz="0" w:space="0" w:color="auto"/>
            <w:bottom w:val="none" w:sz="0" w:space="0" w:color="auto"/>
            <w:right w:val="none" w:sz="0" w:space="0" w:color="auto"/>
          </w:divBdr>
        </w:div>
        <w:div w:id="1525168240">
          <w:marLeft w:val="0"/>
          <w:marRight w:val="0"/>
          <w:marTop w:val="0"/>
          <w:marBottom w:val="101"/>
          <w:divBdr>
            <w:top w:val="none" w:sz="0" w:space="0" w:color="auto"/>
            <w:left w:val="none" w:sz="0" w:space="0" w:color="auto"/>
            <w:bottom w:val="none" w:sz="0" w:space="0" w:color="auto"/>
            <w:right w:val="none" w:sz="0" w:space="0" w:color="auto"/>
          </w:divBdr>
        </w:div>
        <w:div w:id="845481478">
          <w:marLeft w:val="0"/>
          <w:marRight w:val="0"/>
          <w:marTop w:val="0"/>
          <w:marBottom w:val="101"/>
          <w:divBdr>
            <w:top w:val="none" w:sz="0" w:space="0" w:color="auto"/>
            <w:left w:val="none" w:sz="0" w:space="0" w:color="auto"/>
            <w:bottom w:val="none" w:sz="0" w:space="0" w:color="auto"/>
            <w:right w:val="none" w:sz="0" w:space="0" w:color="auto"/>
          </w:divBdr>
        </w:div>
        <w:div w:id="388647948">
          <w:marLeft w:val="0"/>
          <w:marRight w:val="0"/>
          <w:marTop w:val="0"/>
          <w:marBottom w:val="101"/>
          <w:divBdr>
            <w:top w:val="none" w:sz="0" w:space="0" w:color="auto"/>
            <w:left w:val="none" w:sz="0" w:space="0" w:color="auto"/>
            <w:bottom w:val="none" w:sz="0" w:space="0" w:color="auto"/>
            <w:right w:val="none" w:sz="0" w:space="0" w:color="auto"/>
          </w:divBdr>
        </w:div>
        <w:div w:id="129178608">
          <w:marLeft w:val="0"/>
          <w:marRight w:val="0"/>
          <w:marTop w:val="0"/>
          <w:marBottom w:val="101"/>
          <w:divBdr>
            <w:top w:val="none" w:sz="0" w:space="0" w:color="auto"/>
            <w:left w:val="none" w:sz="0" w:space="0" w:color="auto"/>
            <w:bottom w:val="none" w:sz="0" w:space="0" w:color="auto"/>
            <w:right w:val="none" w:sz="0" w:space="0" w:color="auto"/>
          </w:divBdr>
        </w:div>
        <w:div w:id="1487626707">
          <w:marLeft w:val="0"/>
          <w:marRight w:val="0"/>
          <w:marTop w:val="0"/>
          <w:marBottom w:val="101"/>
          <w:divBdr>
            <w:top w:val="none" w:sz="0" w:space="0" w:color="auto"/>
            <w:left w:val="none" w:sz="0" w:space="0" w:color="auto"/>
            <w:bottom w:val="none" w:sz="0" w:space="0" w:color="auto"/>
            <w:right w:val="none" w:sz="0" w:space="0" w:color="auto"/>
          </w:divBdr>
        </w:div>
        <w:div w:id="1128202825">
          <w:marLeft w:val="0"/>
          <w:marRight w:val="0"/>
          <w:marTop w:val="0"/>
          <w:marBottom w:val="101"/>
          <w:divBdr>
            <w:top w:val="none" w:sz="0" w:space="0" w:color="auto"/>
            <w:left w:val="none" w:sz="0" w:space="0" w:color="auto"/>
            <w:bottom w:val="none" w:sz="0" w:space="0" w:color="auto"/>
            <w:right w:val="none" w:sz="0" w:space="0" w:color="auto"/>
          </w:divBdr>
        </w:div>
        <w:div w:id="742334587">
          <w:marLeft w:val="0"/>
          <w:marRight w:val="0"/>
          <w:marTop w:val="0"/>
          <w:marBottom w:val="101"/>
          <w:divBdr>
            <w:top w:val="none" w:sz="0" w:space="0" w:color="auto"/>
            <w:left w:val="none" w:sz="0" w:space="0" w:color="auto"/>
            <w:bottom w:val="none" w:sz="0" w:space="0" w:color="auto"/>
            <w:right w:val="none" w:sz="0" w:space="0" w:color="auto"/>
          </w:divBdr>
        </w:div>
        <w:div w:id="546601355">
          <w:marLeft w:val="0"/>
          <w:marRight w:val="0"/>
          <w:marTop w:val="0"/>
          <w:marBottom w:val="101"/>
          <w:divBdr>
            <w:top w:val="none" w:sz="0" w:space="0" w:color="auto"/>
            <w:left w:val="none" w:sz="0" w:space="0" w:color="auto"/>
            <w:bottom w:val="none" w:sz="0" w:space="0" w:color="auto"/>
            <w:right w:val="none" w:sz="0" w:space="0" w:color="auto"/>
          </w:divBdr>
        </w:div>
        <w:div w:id="2068647333">
          <w:marLeft w:val="0"/>
          <w:marRight w:val="0"/>
          <w:marTop w:val="0"/>
          <w:marBottom w:val="101"/>
          <w:divBdr>
            <w:top w:val="none" w:sz="0" w:space="0" w:color="auto"/>
            <w:left w:val="none" w:sz="0" w:space="0" w:color="auto"/>
            <w:bottom w:val="none" w:sz="0" w:space="0" w:color="auto"/>
            <w:right w:val="none" w:sz="0" w:space="0" w:color="auto"/>
          </w:divBdr>
        </w:div>
        <w:div w:id="1746413324">
          <w:marLeft w:val="0"/>
          <w:marRight w:val="0"/>
          <w:marTop w:val="0"/>
          <w:marBottom w:val="101"/>
          <w:divBdr>
            <w:top w:val="none" w:sz="0" w:space="0" w:color="auto"/>
            <w:left w:val="none" w:sz="0" w:space="0" w:color="auto"/>
            <w:bottom w:val="none" w:sz="0" w:space="0" w:color="auto"/>
            <w:right w:val="none" w:sz="0" w:space="0" w:color="auto"/>
          </w:divBdr>
        </w:div>
        <w:div w:id="475102534">
          <w:marLeft w:val="900"/>
          <w:marRight w:val="0"/>
          <w:marTop w:val="0"/>
          <w:marBottom w:val="101"/>
          <w:divBdr>
            <w:top w:val="none" w:sz="0" w:space="0" w:color="auto"/>
            <w:left w:val="none" w:sz="0" w:space="0" w:color="auto"/>
            <w:bottom w:val="none" w:sz="0" w:space="0" w:color="auto"/>
            <w:right w:val="none" w:sz="0" w:space="0" w:color="auto"/>
          </w:divBdr>
        </w:div>
        <w:div w:id="277762585">
          <w:marLeft w:val="1260"/>
          <w:marRight w:val="0"/>
          <w:marTop w:val="0"/>
          <w:marBottom w:val="101"/>
          <w:divBdr>
            <w:top w:val="none" w:sz="0" w:space="0" w:color="auto"/>
            <w:left w:val="none" w:sz="0" w:space="0" w:color="auto"/>
            <w:bottom w:val="none" w:sz="0" w:space="0" w:color="auto"/>
            <w:right w:val="none" w:sz="0" w:space="0" w:color="auto"/>
          </w:divBdr>
        </w:div>
        <w:div w:id="658778326">
          <w:marLeft w:val="1260"/>
          <w:marRight w:val="0"/>
          <w:marTop w:val="0"/>
          <w:marBottom w:val="101"/>
          <w:divBdr>
            <w:top w:val="none" w:sz="0" w:space="0" w:color="auto"/>
            <w:left w:val="none" w:sz="0" w:space="0" w:color="auto"/>
            <w:bottom w:val="none" w:sz="0" w:space="0" w:color="auto"/>
            <w:right w:val="none" w:sz="0" w:space="0" w:color="auto"/>
          </w:divBdr>
        </w:div>
        <w:div w:id="716050477">
          <w:marLeft w:val="1260"/>
          <w:marRight w:val="0"/>
          <w:marTop w:val="0"/>
          <w:marBottom w:val="101"/>
          <w:divBdr>
            <w:top w:val="none" w:sz="0" w:space="0" w:color="auto"/>
            <w:left w:val="none" w:sz="0" w:space="0" w:color="auto"/>
            <w:bottom w:val="none" w:sz="0" w:space="0" w:color="auto"/>
            <w:right w:val="none" w:sz="0" w:space="0" w:color="auto"/>
          </w:divBdr>
        </w:div>
        <w:div w:id="150097485">
          <w:marLeft w:val="0"/>
          <w:marRight w:val="0"/>
          <w:marTop w:val="0"/>
          <w:marBottom w:val="101"/>
          <w:divBdr>
            <w:top w:val="none" w:sz="0" w:space="0" w:color="auto"/>
            <w:left w:val="none" w:sz="0" w:space="0" w:color="auto"/>
            <w:bottom w:val="single" w:sz="6" w:space="0" w:color="000000"/>
            <w:right w:val="none" w:sz="0" w:space="0" w:color="auto"/>
          </w:divBdr>
        </w:div>
        <w:div w:id="2049064528">
          <w:marLeft w:val="0"/>
          <w:marRight w:val="0"/>
          <w:marTop w:val="0"/>
          <w:marBottom w:val="101"/>
          <w:divBdr>
            <w:top w:val="none" w:sz="0" w:space="0" w:color="auto"/>
            <w:left w:val="none" w:sz="0" w:space="0" w:color="auto"/>
            <w:bottom w:val="single" w:sz="6" w:space="0" w:color="000000"/>
            <w:right w:val="none" w:sz="0" w:space="0" w:color="auto"/>
          </w:divBdr>
        </w:div>
        <w:div w:id="797604608">
          <w:marLeft w:val="0"/>
          <w:marRight w:val="0"/>
          <w:marTop w:val="0"/>
          <w:marBottom w:val="101"/>
          <w:divBdr>
            <w:top w:val="none" w:sz="0" w:space="0" w:color="auto"/>
            <w:left w:val="none" w:sz="0" w:space="0" w:color="auto"/>
            <w:bottom w:val="single" w:sz="6" w:space="0" w:color="000000"/>
            <w:right w:val="none" w:sz="0" w:space="0" w:color="auto"/>
          </w:divBdr>
        </w:div>
        <w:div w:id="1281765440">
          <w:marLeft w:val="900"/>
          <w:marRight w:val="0"/>
          <w:marTop w:val="0"/>
          <w:marBottom w:val="60"/>
          <w:divBdr>
            <w:top w:val="none" w:sz="0" w:space="0" w:color="auto"/>
            <w:left w:val="none" w:sz="0" w:space="0" w:color="auto"/>
            <w:bottom w:val="none" w:sz="0" w:space="0" w:color="auto"/>
            <w:right w:val="none" w:sz="0" w:space="0" w:color="auto"/>
          </w:divBdr>
        </w:div>
        <w:div w:id="816070218">
          <w:marLeft w:val="900"/>
          <w:marRight w:val="0"/>
          <w:marTop w:val="0"/>
          <w:marBottom w:val="60"/>
          <w:divBdr>
            <w:top w:val="none" w:sz="0" w:space="0" w:color="auto"/>
            <w:left w:val="none" w:sz="0" w:space="0" w:color="auto"/>
            <w:bottom w:val="none" w:sz="0" w:space="0" w:color="auto"/>
            <w:right w:val="none" w:sz="0" w:space="0" w:color="auto"/>
          </w:divBdr>
        </w:div>
        <w:div w:id="1218053097">
          <w:marLeft w:val="1260"/>
          <w:marRight w:val="0"/>
          <w:marTop w:val="0"/>
          <w:marBottom w:val="60"/>
          <w:divBdr>
            <w:top w:val="none" w:sz="0" w:space="0" w:color="auto"/>
            <w:left w:val="none" w:sz="0" w:space="0" w:color="auto"/>
            <w:bottom w:val="none" w:sz="0" w:space="0" w:color="auto"/>
            <w:right w:val="none" w:sz="0" w:space="0" w:color="auto"/>
          </w:divBdr>
        </w:div>
        <w:div w:id="413937311">
          <w:marLeft w:val="1260"/>
          <w:marRight w:val="0"/>
          <w:marTop w:val="0"/>
          <w:marBottom w:val="60"/>
          <w:divBdr>
            <w:top w:val="none" w:sz="0" w:space="0" w:color="auto"/>
            <w:left w:val="none" w:sz="0" w:space="0" w:color="auto"/>
            <w:bottom w:val="none" w:sz="0" w:space="0" w:color="auto"/>
            <w:right w:val="none" w:sz="0" w:space="0" w:color="auto"/>
          </w:divBdr>
        </w:div>
        <w:div w:id="819887033">
          <w:marLeft w:val="1260"/>
          <w:marRight w:val="0"/>
          <w:marTop w:val="0"/>
          <w:marBottom w:val="60"/>
          <w:divBdr>
            <w:top w:val="none" w:sz="0" w:space="0" w:color="auto"/>
            <w:left w:val="none" w:sz="0" w:space="0" w:color="auto"/>
            <w:bottom w:val="none" w:sz="0" w:space="0" w:color="auto"/>
            <w:right w:val="none" w:sz="0" w:space="0" w:color="auto"/>
          </w:divBdr>
        </w:div>
        <w:div w:id="592399700">
          <w:marLeft w:val="1260"/>
          <w:marRight w:val="0"/>
          <w:marTop w:val="0"/>
          <w:marBottom w:val="60"/>
          <w:divBdr>
            <w:top w:val="none" w:sz="0" w:space="0" w:color="auto"/>
            <w:left w:val="none" w:sz="0" w:space="0" w:color="auto"/>
            <w:bottom w:val="none" w:sz="0" w:space="0" w:color="auto"/>
            <w:right w:val="none" w:sz="0" w:space="0" w:color="auto"/>
          </w:divBdr>
        </w:div>
        <w:div w:id="1068456904">
          <w:marLeft w:val="1260"/>
          <w:marRight w:val="0"/>
          <w:marTop w:val="0"/>
          <w:marBottom w:val="60"/>
          <w:divBdr>
            <w:top w:val="none" w:sz="0" w:space="0" w:color="auto"/>
            <w:left w:val="none" w:sz="0" w:space="0" w:color="auto"/>
            <w:bottom w:val="none" w:sz="0" w:space="0" w:color="auto"/>
            <w:right w:val="none" w:sz="0" w:space="0" w:color="auto"/>
          </w:divBdr>
        </w:div>
        <w:div w:id="827130144">
          <w:marLeft w:val="1260"/>
          <w:marRight w:val="0"/>
          <w:marTop w:val="0"/>
          <w:marBottom w:val="60"/>
          <w:divBdr>
            <w:top w:val="none" w:sz="0" w:space="0" w:color="auto"/>
            <w:left w:val="none" w:sz="0" w:space="0" w:color="auto"/>
            <w:bottom w:val="none" w:sz="0" w:space="0" w:color="auto"/>
            <w:right w:val="none" w:sz="0" w:space="0" w:color="auto"/>
          </w:divBdr>
        </w:div>
        <w:div w:id="807164858">
          <w:marLeft w:val="900"/>
          <w:marRight w:val="0"/>
          <w:marTop w:val="0"/>
          <w:marBottom w:val="60"/>
          <w:divBdr>
            <w:top w:val="none" w:sz="0" w:space="0" w:color="auto"/>
            <w:left w:val="none" w:sz="0" w:space="0" w:color="auto"/>
            <w:bottom w:val="none" w:sz="0" w:space="0" w:color="auto"/>
            <w:right w:val="none" w:sz="0" w:space="0" w:color="auto"/>
          </w:divBdr>
        </w:div>
        <w:div w:id="403376833">
          <w:marLeft w:val="900"/>
          <w:marRight w:val="0"/>
          <w:marTop w:val="0"/>
          <w:marBottom w:val="60"/>
          <w:divBdr>
            <w:top w:val="none" w:sz="0" w:space="0" w:color="auto"/>
            <w:left w:val="none" w:sz="0" w:space="0" w:color="auto"/>
            <w:bottom w:val="none" w:sz="0" w:space="0" w:color="auto"/>
            <w:right w:val="none" w:sz="0" w:space="0" w:color="auto"/>
          </w:divBdr>
        </w:div>
        <w:div w:id="130054010">
          <w:marLeft w:val="900"/>
          <w:marRight w:val="0"/>
          <w:marTop w:val="0"/>
          <w:marBottom w:val="60"/>
          <w:divBdr>
            <w:top w:val="none" w:sz="0" w:space="0" w:color="auto"/>
            <w:left w:val="none" w:sz="0" w:space="0" w:color="auto"/>
            <w:bottom w:val="none" w:sz="0" w:space="0" w:color="auto"/>
            <w:right w:val="none" w:sz="0" w:space="0" w:color="auto"/>
          </w:divBdr>
        </w:div>
        <w:div w:id="832256573">
          <w:marLeft w:val="900"/>
          <w:marRight w:val="0"/>
          <w:marTop w:val="0"/>
          <w:marBottom w:val="60"/>
          <w:divBdr>
            <w:top w:val="none" w:sz="0" w:space="0" w:color="auto"/>
            <w:left w:val="none" w:sz="0" w:space="0" w:color="auto"/>
            <w:bottom w:val="none" w:sz="0" w:space="0" w:color="auto"/>
            <w:right w:val="none" w:sz="0" w:space="0" w:color="auto"/>
          </w:divBdr>
        </w:div>
        <w:div w:id="1193769447">
          <w:marLeft w:val="900"/>
          <w:marRight w:val="0"/>
          <w:marTop w:val="0"/>
          <w:marBottom w:val="60"/>
          <w:divBdr>
            <w:top w:val="none" w:sz="0" w:space="0" w:color="auto"/>
            <w:left w:val="none" w:sz="0" w:space="0" w:color="auto"/>
            <w:bottom w:val="none" w:sz="0" w:space="0" w:color="auto"/>
            <w:right w:val="none" w:sz="0" w:space="0" w:color="auto"/>
          </w:divBdr>
        </w:div>
        <w:div w:id="1086918285">
          <w:marLeft w:val="900"/>
          <w:marRight w:val="0"/>
          <w:marTop w:val="0"/>
          <w:marBottom w:val="60"/>
          <w:divBdr>
            <w:top w:val="none" w:sz="0" w:space="0" w:color="auto"/>
            <w:left w:val="none" w:sz="0" w:space="0" w:color="auto"/>
            <w:bottom w:val="none" w:sz="0" w:space="0" w:color="auto"/>
            <w:right w:val="none" w:sz="0" w:space="0" w:color="auto"/>
          </w:divBdr>
        </w:div>
        <w:div w:id="1024405639">
          <w:marLeft w:val="900"/>
          <w:marRight w:val="0"/>
          <w:marTop w:val="0"/>
          <w:marBottom w:val="60"/>
          <w:divBdr>
            <w:top w:val="none" w:sz="0" w:space="0" w:color="auto"/>
            <w:left w:val="none" w:sz="0" w:space="0" w:color="auto"/>
            <w:bottom w:val="none" w:sz="0" w:space="0" w:color="auto"/>
            <w:right w:val="none" w:sz="0" w:space="0" w:color="auto"/>
          </w:divBdr>
        </w:div>
        <w:div w:id="1235579679">
          <w:marLeft w:val="900"/>
          <w:marRight w:val="0"/>
          <w:marTop w:val="0"/>
          <w:marBottom w:val="60"/>
          <w:divBdr>
            <w:top w:val="none" w:sz="0" w:space="0" w:color="auto"/>
            <w:left w:val="none" w:sz="0" w:space="0" w:color="auto"/>
            <w:bottom w:val="none" w:sz="0" w:space="0" w:color="auto"/>
            <w:right w:val="none" w:sz="0" w:space="0" w:color="auto"/>
          </w:divBdr>
        </w:div>
        <w:div w:id="76026718">
          <w:marLeft w:val="907"/>
          <w:marRight w:val="0"/>
          <w:marTop w:val="0"/>
          <w:marBottom w:val="101"/>
          <w:divBdr>
            <w:top w:val="none" w:sz="0" w:space="0" w:color="auto"/>
            <w:left w:val="none" w:sz="0" w:space="0" w:color="auto"/>
            <w:bottom w:val="none" w:sz="0" w:space="0" w:color="auto"/>
            <w:right w:val="none" w:sz="0" w:space="0" w:color="auto"/>
          </w:divBdr>
        </w:div>
        <w:div w:id="455216232">
          <w:marLeft w:val="907"/>
          <w:marRight w:val="0"/>
          <w:marTop w:val="0"/>
          <w:marBottom w:val="101"/>
          <w:divBdr>
            <w:top w:val="none" w:sz="0" w:space="0" w:color="auto"/>
            <w:left w:val="none" w:sz="0" w:space="0" w:color="auto"/>
            <w:bottom w:val="none" w:sz="0" w:space="0" w:color="auto"/>
            <w:right w:val="none" w:sz="0" w:space="0" w:color="auto"/>
          </w:divBdr>
        </w:div>
        <w:div w:id="2082948549">
          <w:marLeft w:val="907"/>
          <w:marRight w:val="0"/>
          <w:marTop w:val="0"/>
          <w:marBottom w:val="101"/>
          <w:divBdr>
            <w:top w:val="none" w:sz="0" w:space="0" w:color="auto"/>
            <w:left w:val="none" w:sz="0" w:space="0" w:color="auto"/>
            <w:bottom w:val="none" w:sz="0" w:space="0" w:color="auto"/>
            <w:right w:val="none" w:sz="0" w:space="0" w:color="auto"/>
          </w:divBdr>
        </w:div>
        <w:div w:id="712509428">
          <w:marLeft w:val="907"/>
          <w:marRight w:val="0"/>
          <w:marTop w:val="0"/>
          <w:marBottom w:val="101"/>
          <w:divBdr>
            <w:top w:val="none" w:sz="0" w:space="0" w:color="auto"/>
            <w:left w:val="none" w:sz="0" w:space="0" w:color="auto"/>
            <w:bottom w:val="none" w:sz="0" w:space="0" w:color="auto"/>
            <w:right w:val="none" w:sz="0" w:space="0" w:color="auto"/>
          </w:divBdr>
        </w:div>
        <w:div w:id="953513450">
          <w:marLeft w:val="907"/>
          <w:marRight w:val="0"/>
          <w:marTop w:val="0"/>
          <w:marBottom w:val="101"/>
          <w:divBdr>
            <w:top w:val="none" w:sz="0" w:space="0" w:color="auto"/>
            <w:left w:val="none" w:sz="0" w:space="0" w:color="auto"/>
            <w:bottom w:val="none" w:sz="0" w:space="0" w:color="auto"/>
            <w:right w:val="none" w:sz="0" w:space="0" w:color="auto"/>
          </w:divBdr>
        </w:div>
        <w:div w:id="1052532957">
          <w:marLeft w:val="907"/>
          <w:marRight w:val="0"/>
          <w:marTop w:val="0"/>
          <w:marBottom w:val="101"/>
          <w:divBdr>
            <w:top w:val="none" w:sz="0" w:space="0" w:color="auto"/>
            <w:left w:val="none" w:sz="0" w:space="0" w:color="auto"/>
            <w:bottom w:val="none" w:sz="0" w:space="0" w:color="auto"/>
            <w:right w:val="none" w:sz="0" w:space="0" w:color="auto"/>
          </w:divBdr>
        </w:div>
        <w:div w:id="493491263">
          <w:marLeft w:val="907"/>
          <w:marRight w:val="0"/>
          <w:marTop w:val="0"/>
          <w:marBottom w:val="101"/>
          <w:divBdr>
            <w:top w:val="none" w:sz="0" w:space="0" w:color="auto"/>
            <w:left w:val="none" w:sz="0" w:space="0" w:color="auto"/>
            <w:bottom w:val="none" w:sz="0" w:space="0" w:color="auto"/>
            <w:right w:val="none" w:sz="0" w:space="0" w:color="auto"/>
          </w:divBdr>
        </w:div>
        <w:div w:id="1137067316">
          <w:marLeft w:val="907"/>
          <w:marRight w:val="0"/>
          <w:marTop w:val="0"/>
          <w:marBottom w:val="101"/>
          <w:divBdr>
            <w:top w:val="none" w:sz="0" w:space="0" w:color="auto"/>
            <w:left w:val="none" w:sz="0" w:space="0" w:color="auto"/>
            <w:bottom w:val="none" w:sz="0" w:space="0" w:color="auto"/>
            <w:right w:val="none" w:sz="0" w:space="0" w:color="auto"/>
          </w:divBdr>
        </w:div>
        <w:div w:id="1977833421">
          <w:marLeft w:val="907"/>
          <w:marRight w:val="0"/>
          <w:marTop w:val="0"/>
          <w:marBottom w:val="101"/>
          <w:divBdr>
            <w:top w:val="none" w:sz="0" w:space="0" w:color="auto"/>
            <w:left w:val="none" w:sz="0" w:space="0" w:color="auto"/>
            <w:bottom w:val="none" w:sz="0" w:space="0" w:color="auto"/>
            <w:right w:val="none" w:sz="0" w:space="0" w:color="auto"/>
          </w:divBdr>
        </w:div>
        <w:div w:id="2027515157">
          <w:marLeft w:val="907"/>
          <w:marRight w:val="0"/>
          <w:marTop w:val="0"/>
          <w:marBottom w:val="101"/>
          <w:divBdr>
            <w:top w:val="none" w:sz="0" w:space="0" w:color="auto"/>
            <w:left w:val="none" w:sz="0" w:space="0" w:color="auto"/>
            <w:bottom w:val="none" w:sz="0" w:space="0" w:color="auto"/>
            <w:right w:val="none" w:sz="0" w:space="0" w:color="auto"/>
          </w:divBdr>
        </w:div>
        <w:div w:id="1609894350">
          <w:marLeft w:val="907"/>
          <w:marRight w:val="0"/>
          <w:marTop w:val="0"/>
          <w:marBottom w:val="101"/>
          <w:divBdr>
            <w:top w:val="none" w:sz="0" w:space="0" w:color="auto"/>
            <w:left w:val="none" w:sz="0" w:space="0" w:color="auto"/>
            <w:bottom w:val="none" w:sz="0" w:space="0" w:color="auto"/>
            <w:right w:val="none" w:sz="0" w:space="0" w:color="auto"/>
          </w:divBdr>
        </w:div>
        <w:div w:id="1097167880">
          <w:marLeft w:val="907"/>
          <w:marRight w:val="0"/>
          <w:marTop w:val="0"/>
          <w:marBottom w:val="101"/>
          <w:divBdr>
            <w:top w:val="none" w:sz="0" w:space="0" w:color="auto"/>
            <w:left w:val="none" w:sz="0" w:space="0" w:color="auto"/>
            <w:bottom w:val="none" w:sz="0" w:space="0" w:color="auto"/>
            <w:right w:val="none" w:sz="0" w:space="0" w:color="auto"/>
          </w:divBdr>
        </w:div>
        <w:div w:id="1918975550">
          <w:marLeft w:val="907"/>
          <w:marRight w:val="0"/>
          <w:marTop w:val="0"/>
          <w:marBottom w:val="101"/>
          <w:divBdr>
            <w:top w:val="none" w:sz="0" w:space="0" w:color="auto"/>
            <w:left w:val="none" w:sz="0" w:space="0" w:color="auto"/>
            <w:bottom w:val="none" w:sz="0" w:space="0" w:color="auto"/>
            <w:right w:val="none" w:sz="0" w:space="0" w:color="auto"/>
          </w:divBdr>
        </w:div>
        <w:div w:id="2076925605">
          <w:marLeft w:val="907"/>
          <w:marRight w:val="0"/>
          <w:marTop w:val="0"/>
          <w:marBottom w:val="101"/>
          <w:divBdr>
            <w:top w:val="none" w:sz="0" w:space="0" w:color="auto"/>
            <w:left w:val="none" w:sz="0" w:space="0" w:color="auto"/>
            <w:bottom w:val="none" w:sz="0" w:space="0" w:color="auto"/>
            <w:right w:val="none" w:sz="0" w:space="0" w:color="auto"/>
          </w:divBdr>
        </w:div>
        <w:div w:id="200751676">
          <w:marLeft w:val="0"/>
          <w:marRight w:val="0"/>
          <w:marTop w:val="0"/>
          <w:marBottom w:val="101"/>
          <w:divBdr>
            <w:top w:val="none" w:sz="0" w:space="0" w:color="auto"/>
            <w:left w:val="none" w:sz="0" w:space="0" w:color="auto"/>
            <w:bottom w:val="single" w:sz="6" w:space="0" w:color="000000"/>
            <w:right w:val="none" w:sz="0" w:space="0" w:color="auto"/>
          </w:divBdr>
        </w:div>
        <w:div w:id="965353918">
          <w:marLeft w:val="0"/>
          <w:marRight w:val="0"/>
          <w:marTop w:val="0"/>
          <w:marBottom w:val="101"/>
          <w:divBdr>
            <w:top w:val="none" w:sz="0" w:space="0" w:color="auto"/>
            <w:left w:val="none" w:sz="0" w:space="0" w:color="auto"/>
            <w:bottom w:val="single" w:sz="6" w:space="0" w:color="000000"/>
            <w:right w:val="none" w:sz="0" w:space="0" w:color="auto"/>
          </w:divBdr>
        </w:div>
        <w:div w:id="154339501">
          <w:marLeft w:val="0"/>
          <w:marRight w:val="0"/>
          <w:marTop w:val="0"/>
          <w:marBottom w:val="101"/>
          <w:divBdr>
            <w:top w:val="none" w:sz="0" w:space="0" w:color="auto"/>
            <w:left w:val="none" w:sz="0" w:space="0" w:color="auto"/>
            <w:bottom w:val="single" w:sz="6" w:space="0" w:color="000000"/>
            <w:right w:val="none" w:sz="0" w:space="0" w:color="auto"/>
          </w:divBdr>
        </w:div>
        <w:div w:id="1899825641">
          <w:marLeft w:val="900"/>
          <w:marRight w:val="0"/>
          <w:marTop w:val="0"/>
          <w:marBottom w:val="101"/>
          <w:divBdr>
            <w:top w:val="none" w:sz="0" w:space="0" w:color="auto"/>
            <w:left w:val="none" w:sz="0" w:space="0" w:color="auto"/>
            <w:bottom w:val="none" w:sz="0" w:space="0" w:color="auto"/>
            <w:right w:val="none" w:sz="0" w:space="0" w:color="auto"/>
          </w:divBdr>
        </w:div>
        <w:div w:id="976834569">
          <w:marLeft w:val="900"/>
          <w:marRight w:val="0"/>
          <w:marTop w:val="0"/>
          <w:marBottom w:val="101"/>
          <w:divBdr>
            <w:top w:val="none" w:sz="0" w:space="0" w:color="auto"/>
            <w:left w:val="none" w:sz="0" w:space="0" w:color="auto"/>
            <w:bottom w:val="none" w:sz="0" w:space="0" w:color="auto"/>
            <w:right w:val="none" w:sz="0" w:space="0" w:color="auto"/>
          </w:divBdr>
        </w:div>
        <w:div w:id="421802374">
          <w:marLeft w:val="900"/>
          <w:marRight w:val="0"/>
          <w:marTop w:val="0"/>
          <w:marBottom w:val="101"/>
          <w:divBdr>
            <w:top w:val="none" w:sz="0" w:space="0" w:color="auto"/>
            <w:left w:val="none" w:sz="0" w:space="0" w:color="auto"/>
            <w:bottom w:val="none" w:sz="0" w:space="0" w:color="auto"/>
            <w:right w:val="none" w:sz="0" w:space="0" w:color="auto"/>
          </w:divBdr>
        </w:div>
        <w:div w:id="2112117754">
          <w:marLeft w:val="900"/>
          <w:marRight w:val="0"/>
          <w:marTop w:val="0"/>
          <w:marBottom w:val="101"/>
          <w:divBdr>
            <w:top w:val="none" w:sz="0" w:space="0" w:color="auto"/>
            <w:left w:val="none" w:sz="0" w:space="0" w:color="auto"/>
            <w:bottom w:val="none" w:sz="0" w:space="0" w:color="auto"/>
            <w:right w:val="none" w:sz="0" w:space="0" w:color="auto"/>
          </w:divBdr>
        </w:div>
        <w:div w:id="527836987">
          <w:marLeft w:val="900"/>
          <w:marRight w:val="0"/>
          <w:marTop w:val="0"/>
          <w:marBottom w:val="101"/>
          <w:divBdr>
            <w:top w:val="none" w:sz="0" w:space="0" w:color="auto"/>
            <w:left w:val="none" w:sz="0" w:space="0" w:color="auto"/>
            <w:bottom w:val="none" w:sz="0" w:space="0" w:color="auto"/>
            <w:right w:val="none" w:sz="0" w:space="0" w:color="auto"/>
          </w:divBdr>
        </w:div>
        <w:div w:id="503278190">
          <w:marLeft w:val="900"/>
          <w:marRight w:val="0"/>
          <w:marTop w:val="0"/>
          <w:marBottom w:val="101"/>
          <w:divBdr>
            <w:top w:val="none" w:sz="0" w:space="0" w:color="auto"/>
            <w:left w:val="none" w:sz="0" w:space="0" w:color="auto"/>
            <w:bottom w:val="none" w:sz="0" w:space="0" w:color="auto"/>
            <w:right w:val="none" w:sz="0" w:space="0" w:color="auto"/>
          </w:divBdr>
        </w:div>
        <w:div w:id="451288378">
          <w:marLeft w:val="900"/>
          <w:marRight w:val="0"/>
          <w:marTop w:val="0"/>
          <w:marBottom w:val="101"/>
          <w:divBdr>
            <w:top w:val="none" w:sz="0" w:space="0" w:color="auto"/>
            <w:left w:val="none" w:sz="0" w:space="0" w:color="auto"/>
            <w:bottom w:val="none" w:sz="0" w:space="0" w:color="auto"/>
            <w:right w:val="none" w:sz="0" w:space="0" w:color="auto"/>
          </w:divBdr>
        </w:div>
        <w:div w:id="1331106584">
          <w:marLeft w:val="900"/>
          <w:marRight w:val="0"/>
          <w:marTop w:val="0"/>
          <w:marBottom w:val="101"/>
          <w:divBdr>
            <w:top w:val="none" w:sz="0" w:space="0" w:color="auto"/>
            <w:left w:val="none" w:sz="0" w:space="0" w:color="auto"/>
            <w:bottom w:val="none" w:sz="0" w:space="0" w:color="auto"/>
            <w:right w:val="none" w:sz="0" w:space="0" w:color="auto"/>
          </w:divBdr>
        </w:div>
        <w:div w:id="2057123048">
          <w:marLeft w:val="900"/>
          <w:marRight w:val="0"/>
          <w:marTop w:val="0"/>
          <w:marBottom w:val="101"/>
          <w:divBdr>
            <w:top w:val="none" w:sz="0" w:space="0" w:color="auto"/>
            <w:left w:val="none" w:sz="0" w:space="0" w:color="auto"/>
            <w:bottom w:val="none" w:sz="0" w:space="0" w:color="auto"/>
            <w:right w:val="none" w:sz="0" w:space="0" w:color="auto"/>
          </w:divBdr>
        </w:div>
        <w:div w:id="865756951">
          <w:marLeft w:val="900"/>
          <w:marRight w:val="0"/>
          <w:marTop w:val="0"/>
          <w:marBottom w:val="101"/>
          <w:divBdr>
            <w:top w:val="none" w:sz="0" w:space="0" w:color="auto"/>
            <w:left w:val="none" w:sz="0" w:space="0" w:color="auto"/>
            <w:bottom w:val="none" w:sz="0" w:space="0" w:color="auto"/>
            <w:right w:val="none" w:sz="0" w:space="0" w:color="auto"/>
          </w:divBdr>
        </w:div>
        <w:div w:id="2011827081">
          <w:marLeft w:val="900"/>
          <w:marRight w:val="0"/>
          <w:marTop w:val="0"/>
          <w:marBottom w:val="101"/>
          <w:divBdr>
            <w:top w:val="none" w:sz="0" w:space="0" w:color="auto"/>
            <w:left w:val="none" w:sz="0" w:space="0" w:color="auto"/>
            <w:bottom w:val="none" w:sz="0" w:space="0" w:color="auto"/>
            <w:right w:val="none" w:sz="0" w:space="0" w:color="auto"/>
          </w:divBdr>
        </w:div>
        <w:div w:id="50806709">
          <w:marLeft w:val="900"/>
          <w:marRight w:val="0"/>
          <w:marTop w:val="0"/>
          <w:marBottom w:val="101"/>
          <w:divBdr>
            <w:top w:val="none" w:sz="0" w:space="0" w:color="auto"/>
            <w:left w:val="none" w:sz="0" w:space="0" w:color="auto"/>
            <w:bottom w:val="none" w:sz="0" w:space="0" w:color="auto"/>
            <w:right w:val="none" w:sz="0" w:space="0" w:color="auto"/>
          </w:divBdr>
        </w:div>
        <w:div w:id="554005024">
          <w:marLeft w:val="0"/>
          <w:marRight w:val="0"/>
          <w:marTop w:val="0"/>
          <w:marBottom w:val="101"/>
          <w:divBdr>
            <w:top w:val="none" w:sz="0" w:space="0" w:color="auto"/>
            <w:left w:val="none" w:sz="0" w:space="0" w:color="auto"/>
            <w:bottom w:val="single" w:sz="6" w:space="0" w:color="000000"/>
            <w:right w:val="none" w:sz="0" w:space="0" w:color="auto"/>
          </w:divBdr>
        </w:div>
        <w:div w:id="1531843507">
          <w:marLeft w:val="0"/>
          <w:marRight w:val="0"/>
          <w:marTop w:val="0"/>
          <w:marBottom w:val="101"/>
          <w:divBdr>
            <w:top w:val="none" w:sz="0" w:space="0" w:color="auto"/>
            <w:left w:val="none" w:sz="0" w:space="0" w:color="auto"/>
            <w:bottom w:val="single" w:sz="6" w:space="0" w:color="000000"/>
            <w:right w:val="none" w:sz="0" w:space="0" w:color="auto"/>
          </w:divBdr>
        </w:div>
        <w:div w:id="1251430159">
          <w:marLeft w:val="0"/>
          <w:marRight w:val="0"/>
          <w:marTop w:val="0"/>
          <w:marBottom w:val="101"/>
          <w:divBdr>
            <w:top w:val="none" w:sz="0" w:space="0" w:color="auto"/>
            <w:left w:val="none" w:sz="0" w:space="0" w:color="auto"/>
            <w:bottom w:val="single" w:sz="6" w:space="0" w:color="000000"/>
            <w:right w:val="none" w:sz="0" w:space="0" w:color="auto"/>
          </w:divBdr>
        </w:div>
        <w:div w:id="434906365">
          <w:marLeft w:val="907"/>
          <w:marRight w:val="0"/>
          <w:marTop w:val="0"/>
          <w:marBottom w:val="60"/>
          <w:divBdr>
            <w:top w:val="none" w:sz="0" w:space="0" w:color="auto"/>
            <w:left w:val="none" w:sz="0" w:space="0" w:color="auto"/>
            <w:bottom w:val="none" w:sz="0" w:space="0" w:color="auto"/>
            <w:right w:val="none" w:sz="0" w:space="0" w:color="auto"/>
          </w:divBdr>
        </w:div>
        <w:div w:id="598148993">
          <w:marLeft w:val="907"/>
          <w:marRight w:val="0"/>
          <w:marTop w:val="0"/>
          <w:marBottom w:val="60"/>
          <w:divBdr>
            <w:top w:val="none" w:sz="0" w:space="0" w:color="auto"/>
            <w:left w:val="none" w:sz="0" w:space="0" w:color="auto"/>
            <w:bottom w:val="none" w:sz="0" w:space="0" w:color="auto"/>
            <w:right w:val="none" w:sz="0" w:space="0" w:color="auto"/>
          </w:divBdr>
        </w:div>
        <w:div w:id="1794249776">
          <w:marLeft w:val="907"/>
          <w:marRight w:val="0"/>
          <w:marTop w:val="0"/>
          <w:marBottom w:val="60"/>
          <w:divBdr>
            <w:top w:val="none" w:sz="0" w:space="0" w:color="auto"/>
            <w:left w:val="none" w:sz="0" w:space="0" w:color="auto"/>
            <w:bottom w:val="none" w:sz="0" w:space="0" w:color="auto"/>
            <w:right w:val="none" w:sz="0" w:space="0" w:color="auto"/>
          </w:divBdr>
        </w:div>
        <w:div w:id="310211949">
          <w:marLeft w:val="0"/>
          <w:marRight w:val="0"/>
          <w:marTop w:val="0"/>
          <w:marBottom w:val="20"/>
          <w:divBdr>
            <w:top w:val="none" w:sz="0" w:space="0" w:color="auto"/>
            <w:left w:val="none" w:sz="0" w:space="0" w:color="auto"/>
            <w:bottom w:val="none" w:sz="0" w:space="0" w:color="auto"/>
            <w:right w:val="none" w:sz="0" w:space="0" w:color="auto"/>
          </w:divBdr>
        </w:div>
        <w:div w:id="55247749">
          <w:marLeft w:val="0"/>
          <w:marRight w:val="0"/>
          <w:marTop w:val="0"/>
          <w:marBottom w:val="20"/>
          <w:divBdr>
            <w:top w:val="none" w:sz="0" w:space="0" w:color="auto"/>
            <w:left w:val="none" w:sz="0" w:space="0" w:color="auto"/>
            <w:bottom w:val="none" w:sz="0" w:space="0" w:color="auto"/>
            <w:right w:val="none" w:sz="0" w:space="0" w:color="auto"/>
          </w:divBdr>
        </w:div>
        <w:div w:id="306515979">
          <w:marLeft w:val="0"/>
          <w:marRight w:val="0"/>
          <w:marTop w:val="0"/>
          <w:marBottom w:val="20"/>
          <w:divBdr>
            <w:top w:val="none" w:sz="0" w:space="0" w:color="auto"/>
            <w:left w:val="none" w:sz="0" w:space="0" w:color="auto"/>
            <w:bottom w:val="none" w:sz="0" w:space="0" w:color="auto"/>
            <w:right w:val="none" w:sz="0" w:space="0" w:color="auto"/>
          </w:divBdr>
        </w:div>
        <w:div w:id="1981881453">
          <w:marLeft w:val="0"/>
          <w:marRight w:val="0"/>
          <w:marTop w:val="0"/>
          <w:marBottom w:val="20"/>
          <w:divBdr>
            <w:top w:val="none" w:sz="0" w:space="0" w:color="auto"/>
            <w:left w:val="none" w:sz="0" w:space="0" w:color="auto"/>
            <w:bottom w:val="none" w:sz="0" w:space="0" w:color="auto"/>
            <w:right w:val="none" w:sz="0" w:space="0" w:color="auto"/>
          </w:divBdr>
        </w:div>
        <w:div w:id="102312926">
          <w:marLeft w:val="0"/>
          <w:marRight w:val="0"/>
          <w:marTop w:val="0"/>
          <w:marBottom w:val="20"/>
          <w:divBdr>
            <w:top w:val="none" w:sz="0" w:space="0" w:color="auto"/>
            <w:left w:val="none" w:sz="0" w:space="0" w:color="auto"/>
            <w:bottom w:val="none" w:sz="0" w:space="0" w:color="auto"/>
            <w:right w:val="none" w:sz="0" w:space="0" w:color="auto"/>
          </w:divBdr>
        </w:div>
        <w:div w:id="2078016405">
          <w:marLeft w:val="0"/>
          <w:marRight w:val="0"/>
          <w:marTop w:val="0"/>
          <w:marBottom w:val="20"/>
          <w:divBdr>
            <w:top w:val="none" w:sz="0" w:space="0" w:color="auto"/>
            <w:left w:val="none" w:sz="0" w:space="0" w:color="auto"/>
            <w:bottom w:val="none" w:sz="0" w:space="0" w:color="auto"/>
            <w:right w:val="none" w:sz="0" w:space="0" w:color="auto"/>
          </w:divBdr>
        </w:div>
        <w:div w:id="77682060">
          <w:marLeft w:val="0"/>
          <w:marRight w:val="0"/>
          <w:marTop w:val="0"/>
          <w:marBottom w:val="20"/>
          <w:divBdr>
            <w:top w:val="none" w:sz="0" w:space="0" w:color="auto"/>
            <w:left w:val="none" w:sz="0" w:space="0" w:color="auto"/>
            <w:bottom w:val="none" w:sz="0" w:space="0" w:color="auto"/>
            <w:right w:val="none" w:sz="0" w:space="0" w:color="auto"/>
          </w:divBdr>
        </w:div>
        <w:div w:id="2074111497">
          <w:marLeft w:val="0"/>
          <w:marRight w:val="0"/>
          <w:marTop w:val="0"/>
          <w:marBottom w:val="20"/>
          <w:divBdr>
            <w:top w:val="none" w:sz="0" w:space="0" w:color="auto"/>
            <w:left w:val="none" w:sz="0" w:space="0" w:color="auto"/>
            <w:bottom w:val="none" w:sz="0" w:space="0" w:color="auto"/>
            <w:right w:val="none" w:sz="0" w:space="0" w:color="auto"/>
          </w:divBdr>
        </w:div>
        <w:div w:id="2130852526">
          <w:marLeft w:val="0"/>
          <w:marRight w:val="0"/>
          <w:marTop w:val="0"/>
          <w:marBottom w:val="20"/>
          <w:divBdr>
            <w:top w:val="none" w:sz="0" w:space="0" w:color="auto"/>
            <w:left w:val="none" w:sz="0" w:space="0" w:color="auto"/>
            <w:bottom w:val="none" w:sz="0" w:space="0" w:color="auto"/>
            <w:right w:val="none" w:sz="0" w:space="0" w:color="auto"/>
          </w:divBdr>
        </w:div>
        <w:div w:id="976489298">
          <w:marLeft w:val="0"/>
          <w:marRight w:val="0"/>
          <w:marTop w:val="0"/>
          <w:marBottom w:val="20"/>
          <w:divBdr>
            <w:top w:val="none" w:sz="0" w:space="0" w:color="auto"/>
            <w:left w:val="none" w:sz="0" w:space="0" w:color="auto"/>
            <w:bottom w:val="none" w:sz="0" w:space="0" w:color="auto"/>
            <w:right w:val="none" w:sz="0" w:space="0" w:color="auto"/>
          </w:divBdr>
        </w:div>
        <w:div w:id="1520387784">
          <w:marLeft w:val="0"/>
          <w:marRight w:val="0"/>
          <w:marTop w:val="0"/>
          <w:marBottom w:val="20"/>
          <w:divBdr>
            <w:top w:val="none" w:sz="0" w:space="0" w:color="auto"/>
            <w:left w:val="none" w:sz="0" w:space="0" w:color="auto"/>
            <w:bottom w:val="none" w:sz="0" w:space="0" w:color="auto"/>
            <w:right w:val="none" w:sz="0" w:space="0" w:color="auto"/>
          </w:divBdr>
        </w:div>
        <w:div w:id="1649241092">
          <w:marLeft w:val="0"/>
          <w:marRight w:val="0"/>
          <w:marTop w:val="0"/>
          <w:marBottom w:val="20"/>
          <w:divBdr>
            <w:top w:val="none" w:sz="0" w:space="0" w:color="auto"/>
            <w:left w:val="none" w:sz="0" w:space="0" w:color="auto"/>
            <w:bottom w:val="none" w:sz="0" w:space="0" w:color="auto"/>
            <w:right w:val="none" w:sz="0" w:space="0" w:color="auto"/>
          </w:divBdr>
        </w:div>
        <w:div w:id="1959338252">
          <w:marLeft w:val="0"/>
          <w:marRight w:val="0"/>
          <w:marTop w:val="0"/>
          <w:marBottom w:val="20"/>
          <w:divBdr>
            <w:top w:val="none" w:sz="0" w:space="0" w:color="auto"/>
            <w:left w:val="none" w:sz="0" w:space="0" w:color="auto"/>
            <w:bottom w:val="none" w:sz="0" w:space="0" w:color="auto"/>
            <w:right w:val="none" w:sz="0" w:space="0" w:color="auto"/>
          </w:divBdr>
        </w:div>
        <w:div w:id="1304232508">
          <w:marLeft w:val="0"/>
          <w:marRight w:val="0"/>
          <w:marTop w:val="0"/>
          <w:marBottom w:val="20"/>
          <w:divBdr>
            <w:top w:val="none" w:sz="0" w:space="0" w:color="auto"/>
            <w:left w:val="none" w:sz="0" w:space="0" w:color="auto"/>
            <w:bottom w:val="none" w:sz="0" w:space="0" w:color="auto"/>
            <w:right w:val="none" w:sz="0" w:space="0" w:color="auto"/>
          </w:divBdr>
        </w:div>
        <w:div w:id="1101222232">
          <w:marLeft w:val="0"/>
          <w:marRight w:val="0"/>
          <w:marTop w:val="0"/>
          <w:marBottom w:val="20"/>
          <w:divBdr>
            <w:top w:val="none" w:sz="0" w:space="0" w:color="auto"/>
            <w:left w:val="none" w:sz="0" w:space="0" w:color="auto"/>
            <w:bottom w:val="none" w:sz="0" w:space="0" w:color="auto"/>
            <w:right w:val="none" w:sz="0" w:space="0" w:color="auto"/>
          </w:divBdr>
        </w:div>
        <w:div w:id="1335649243">
          <w:marLeft w:val="0"/>
          <w:marRight w:val="0"/>
          <w:marTop w:val="0"/>
          <w:marBottom w:val="20"/>
          <w:divBdr>
            <w:top w:val="none" w:sz="0" w:space="0" w:color="auto"/>
            <w:left w:val="none" w:sz="0" w:space="0" w:color="auto"/>
            <w:bottom w:val="none" w:sz="0" w:space="0" w:color="auto"/>
            <w:right w:val="none" w:sz="0" w:space="0" w:color="auto"/>
          </w:divBdr>
        </w:div>
        <w:div w:id="2032564164">
          <w:marLeft w:val="0"/>
          <w:marRight w:val="0"/>
          <w:marTop w:val="0"/>
          <w:marBottom w:val="20"/>
          <w:divBdr>
            <w:top w:val="none" w:sz="0" w:space="0" w:color="auto"/>
            <w:left w:val="none" w:sz="0" w:space="0" w:color="auto"/>
            <w:bottom w:val="none" w:sz="0" w:space="0" w:color="auto"/>
            <w:right w:val="none" w:sz="0" w:space="0" w:color="auto"/>
          </w:divBdr>
        </w:div>
        <w:div w:id="1166435331">
          <w:marLeft w:val="0"/>
          <w:marRight w:val="0"/>
          <w:marTop w:val="0"/>
          <w:marBottom w:val="20"/>
          <w:divBdr>
            <w:top w:val="none" w:sz="0" w:space="0" w:color="auto"/>
            <w:left w:val="none" w:sz="0" w:space="0" w:color="auto"/>
            <w:bottom w:val="none" w:sz="0" w:space="0" w:color="auto"/>
            <w:right w:val="none" w:sz="0" w:space="0" w:color="auto"/>
          </w:divBdr>
        </w:div>
        <w:div w:id="1566716846">
          <w:marLeft w:val="0"/>
          <w:marRight w:val="0"/>
          <w:marTop w:val="0"/>
          <w:marBottom w:val="20"/>
          <w:divBdr>
            <w:top w:val="none" w:sz="0" w:space="0" w:color="auto"/>
            <w:left w:val="none" w:sz="0" w:space="0" w:color="auto"/>
            <w:bottom w:val="none" w:sz="0" w:space="0" w:color="auto"/>
            <w:right w:val="none" w:sz="0" w:space="0" w:color="auto"/>
          </w:divBdr>
        </w:div>
        <w:div w:id="672488610">
          <w:marLeft w:val="0"/>
          <w:marRight w:val="0"/>
          <w:marTop w:val="0"/>
          <w:marBottom w:val="20"/>
          <w:divBdr>
            <w:top w:val="none" w:sz="0" w:space="0" w:color="auto"/>
            <w:left w:val="none" w:sz="0" w:space="0" w:color="auto"/>
            <w:bottom w:val="none" w:sz="0" w:space="0" w:color="auto"/>
            <w:right w:val="none" w:sz="0" w:space="0" w:color="auto"/>
          </w:divBdr>
        </w:div>
        <w:div w:id="1691956468">
          <w:marLeft w:val="0"/>
          <w:marRight w:val="0"/>
          <w:marTop w:val="0"/>
          <w:marBottom w:val="20"/>
          <w:divBdr>
            <w:top w:val="none" w:sz="0" w:space="0" w:color="auto"/>
            <w:left w:val="none" w:sz="0" w:space="0" w:color="auto"/>
            <w:bottom w:val="none" w:sz="0" w:space="0" w:color="auto"/>
            <w:right w:val="none" w:sz="0" w:space="0" w:color="auto"/>
          </w:divBdr>
        </w:div>
        <w:div w:id="465200164">
          <w:marLeft w:val="0"/>
          <w:marRight w:val="0"/>
          <w:marTop w:val="0"/>
          <w:marBottom w:val="20"/>
          <w:divBdr>
            <w:top w:val="none" w:sz="0" w:space="0" w:color="auto"/>
            <w:left w:val="none" w:sz="0" w:space="0" w:color="auto"/>
            <w:bottom w:val="none" w:sz="0" w:space="0" w:color="auto"/>
            <w:right w:val="none" w:sz="0" w:space="0" w:color="auto"/>
          </w:divBdr>
        </w:div>
        <w:div w:id="1735196818">
          <w:marLeft w:val="0"/>
          <w:marRight w:val="0"/>
          <w:marTop w:val="0"/>
          <w:marBottom w:val="20"/>
          <w:divBdr>
            <w:top w:val="none" w:sz="0" w:space="0" w:color="auto"/>
            <w:left w:val="none" w:sz="0" w:space="0" w:color="auto"/>
            <w:bottom w:val="none" w:sz="0" w:space="0" w:color="auto"/>
            <w:right w:val="none" w:sz="0" w:space="0" w:color="auto"/>
          </w:divBdr>
        </w:div>
        <w:div w:id="1541170017">
          <w:marLeft w:val="0"/>
          <w:marRight w:val="0"/>
          <w:marTop w:val="0"/>
          <w:marBottom w:val="20"/>
          <w:divBdr>
            <w:top w:val="none" w:sz="0" w:space="0" w:color="auto"/>
            <w:left w:val="none" w:sz="0" w:space="0" w:color="auto"/>
            <w:bottom w:val="none" w:sz="0" w:space="0" w:color="auto"/>
            <w:right w:val="none" w:sz="0" w:space="0" w:color="auto"/>
          </w:divBdr>
        </w:div>
        <w:div w:id="607468238">
          <w:marLeft w:val="0"/>
          <w:marRight w:val="0"/>
          <w:marTop w:val="0"/>
          <w:marBottom w:val="20"/>
          <w:divBdr>
            <w:top w:val="none" w:sz="0" w:space="0" w:color="auto"/>
            <w:left w:val="none" w:sz="0" w:space="0" w:color="auto"/>
            <w:bottom w:val="none" w:sz="0" w:space="0" w:color="auto"/>
            <w:right w:val="none" w:sz="0" w:space="0" w:color="auto"/>
          </w:divBdr>
        </w:div>
        <w:div w:id="182280291">
          <w:marLeft w:val="0"/>
          <w:marRight w:val="0"/>
          <w:marTop w:val="0"/>
          <w:marBottom w:val="20"/>
          <w:divBdr>
            <w:top w:val="none" w:sz="0" w:space="0" w:color="auto"/>
            <w:left w:val="none" w:sz="0" w:space="0" w:color="auto"/>
            <w:bottom w:val="none" w:sz="0" w:space="0" w:color="auto"/>
            <w:right w:val="none" w:sz="0" w:space="0" w:color="auto"/>
          </w:divBdr>
        </w:div>
        <w:div w:id="1582064906">
          <w:marLeft w:val="0"/>
          <w:marRight w:val="0"/>
          <w:marTop w:val="0"/>
          <w:marBottom w:val="20"/>
          <w:divBdr>
            <w:top w:val="none" w:sz="0" w:space="0" w:color="auto"/>
            <w:left w:val="none" w:sz="0" w:space="0" w:color="auto"/>
            <w:bottom w:val="none" w:sz="0" w:space="0" w:color="auto"/>
            <w:right w:val="none" w:sz="0" w:space="0" w:color="auto"/>
          </w:divBdr>
        </w:div>
        <w:div w:id="1161848260">
          <w:marLeft w:val="0"/>
          <w:marRight w:val="0"/>
          <w:marTop w:val="0"/>
          <w:marBottom w:val="20"/>
          <w:divBdr>
            <w:top w:val="none" w:sz="0" w:space="0" w:color="auto"/>
            <w:left w:val="none" w:sz="0" w:space="0" w:color="auto"/>
            <w:bottom w:val="none" w:sz="0" w:space="0" w:color="auto"/>
            <w:right w:val="none" w:sz="0" w:space="0" w:color="auto"/>
          </w:divBdr>
        </w:div>
        <w:div w:id="742724587">
          <w:marLeft w:val="0"/>
          <w:marRight w:val="0"/>
          <w:marTop w:val="0"/>
          <w:marBottom w:val="20"/>
          <w:divBdr>
            <w:top w:val="none" w:sz="0" w:space="0" w:color="auto"/>
            <w:left w:val="none" w:sz="0" w:space="0" w:color="auto"/>
            <w:bottom w:val="none" w:sz="0" w:space="0" w:color="auto"/>
            <w:right w:val="none" w:sz="0" w:space="0" w:color="auto"/>
          </w:divBdr>
        </w:div>
        <w:div w:id="448856791">
          <w:marLeft w:val="0"/>
          <w:marRight w:val="0"/>
          <w:marTop w:val="0"/>
          <w:marBottom w:val="60"/>
          <w:divBdr>
            <w:top w:val="none" w:sz="0" w:space="0" w:color="auto"/>
            <w:left w:val="none" w:sz="0" w:space="0" w:color="auto"/>
            <w:bottom w:val="none" w:sz="0" w:space="0" w:color="auto"/>
            <w:right w:val="none" w:sz="0" w:space="0" w:color="auto"/>
          </w:divBdr>
        </w:div>
        <w:div w:id="11342294">
          <w:marLeft w:val="900"/>
          <w:marRight w:val="0"/>
          <w:marTop w:val="0"/>
          <w:marBottom w:val="60"/>
          <w:divBdr>
            <w:top w:val="none" w:sz="0" w:space="0" w:color="auto"/>
            <w:left w:val="none" w:sz="0" w:space="0" w:color="auto"/>
            <w:bottom w:val="none" w:sz="0" w:space="0" w:color="auto"/>
            <w:right w:val="none" w:sz="0" w:space="0" w:color="auto"/>
          </w:divBdr>
        </w:div>
        <w:div w:id="1005016972">
          <w:marLeft w:val="1260"/>
          <w:marRight w:val="0"/>
          <w:marTop w:val="0"/>
          <w:marBottom w:val="60"/>
          <w:divBdr>
            <w:top w:val="none" w:sz="0" w:space="0" w:color="auto"/>
            <w:left w:val="none" w:sz="0" w:space="0" w:color="auto"/>
            <w:bottom w:val="none" w:sz="0" w:space="0" w:color="auto"/>
            <w:right w:val="none" w:sz="0" w:space="0" w:color="auto"/>
          </w:divBdr>
        </w:div>
        <w:div w:id="1102921727">
          <w:marLeft w:val="1267"/>
          <w:marRight w:val="0"/>
          <w:marTop w:val="0"/>
          <w:marBottom w:val="60"/>
          <w:divBdr>
            <w:top w:val="none" w:sz="0" w:space="0" w:color="auto"/>
            <w:left w:val="none" w:sz="0" w:space="0" w:color="auto"/>
            <w:bottom w:val="none" w:sz="0" w:space="0" w:color="auto"/>
            <w:right w:val="none" w:sz="0" w:space="0" w:color="auto"/>
          </w:divBdr>
        </w:div>
        <w:div w:id="563881361">
          <w:marLeft w:val="1260"/>
          <w:marRight w:val="0"/>
          <w:marTop w:val="0"/>
          <w:marBottom w:val="60"/>
          <w:divBdr>
            <w:top w:val="none" w:sz="0" w:space="0" w:color="auto"/>
            <w:left w:val="none" w:sz="0" w:space="0" w:color="auto"/>
            <w:bottom w:val="none" w:sz="0" w:space="0" w:color="auto"/>
            <w:right w:val="none" w:sz="0" w:space="0" w:color="auto"/>
          </w:divBdr>
        </w:div>
        <w:div w:id="1174610253">
          <w:marLeft w:val="1267"/>
          <w:marRight w:val="0"/>
          <w:marTop w:val="0"/>
          <w:marBottom w:val="60"/>
          <w:divBdr>
            <w:top w:val="none" w:sz="0" w:space="0" w:color="auto"/>
            <w:left w:val="none" w:sz="0" w:space="0" w:color="auto"/>
            <w:bottom w:val="none" w:sz="0" w:space="0" w:color="auto"/>
            <w:right w:val="none" w:sz="0" w:space="0" w:color="auto"/>
          </w:divBdr>
        </w:div>
        <w:div w:id="682241266">
          <w:marLeft w:val="1267"/>
          <w:marRight w:val="0"/>
          <w:marTop w:val="0"/>
          <w:marBottom w:val="60"/>
          <w:divBdr>
            <w:top w:val="none" w:sz="0" w:space="0" w:color="auto"/>
            <w:left w:val="none" w:sz="0" w:space="0" w:color="auto"/>
            <w:bottom w:val="none" w:sz="0" w:space="0" w:color="auto"/>
            <w:right w:val="none" w:sz="0" w:space="0" w:color="auto"/>
          </w:divBdr>
        </w:div>
        <w:div w:id="1410153339">
          <w:marLeft w:val="1267"/>
          <w:marRight w:val="0"/>
          <w:marTop w:val="0"/>
          <w:marBottom w:val="60"/>
          <w:divBdr>
            <w:top w:val="none" w:sz="0" w:space="0" w:color="auto"/>
            <w:left w:val="none" w:sz="0" w:space="0" w:color="auto"/>
            <w:bottom w:val="none" w:sz="0" w:space="0" w:color="auto"/>
            <w:right w:val="none" w:sz="0" w:space="0" w:color="auto"/>
          </w:divBdr>
        </w:div>
        <w:div w:id="1782996982">
          <w:marLeft w:val="1267"/>
          <w:marRight w:val="0"/>
          <w:marTop w:val="0"/>
          <w:marBottom w:val="101"/>
          <w:divBdr>
            <w:top w:val="none" w:sz="0" w:space="0" w:color="auto"/>
            <w:left w:val="none" w:sz="0" w:space="0" w:color="auto"/>
            <w:bottom w:val="none" w:sz="0" w:space="0" w:color="auto"/>
            <w:right w:val="none" w:sz="0" w:space="0" w:color="auto"/>
          </w:divBdr>
        </w:div>
        <w:div w:id="403530830">
          <w:marLeft w:val="0"/>
          <w:marRight w:val="0"/>
          <w:marTop w:val="0"/>
          <w:marBottom w:val="101"/>
          <w:divBdr>
            <w:top w:val="none" w:sz="0" w:space="0" w:color="auto"/>
            <w:left w:val="none" w:sz="0" w:space="0" w:color="auto"/>
            <w:bottom w:val="single" w:sz="6" w:space="0" w:color="000000"/>
            <w:right w:val="none" w:sz="0" w:space="0" w:color="auto"/>
          </w:divBdr>
        </w:div>
        <w:div w:id="570697242">
          <w:marLeft w:val="0"/>
          <w:marRight w:val="0"/>
          <w:marTop w:val="0"/>
          <w:marBottom w:val="101"/>
          <w:divBdr>
            <w:top w:val="none" w:sz="0" w:space="0" w:color="auto"/>
            <w:left w:val="none" w:sz="0" w:space="0" w:color="auto"/>
            <w:bottom w:val="single" w:sz="6" w:space="0" w:color="000000"/>
            <w:right w:val="none" w:sz="0" w:space="0" w:color="auto"/>
          </w:divBdr>
        </w:div>
        <w:div w:id="1369257182">
          <w:marLeft w:val="0"/>
          <w:marRight w:val="0"/>
          <w:marTop w:val="0"/>
          <w:marBottom w:val="101"/>
          <w:divBdr>
            <w:top w:val="none" w:sz="0" w:space="0" w:color="auto"/>
            <w:left w:val="none" w:sz="0" w:space="0" w:color="auto"/>
            <w:bottom w:val="single" w:sz="6" w:space="0" w:color="000000"/>
            <w:right w:val="none" w:sz="0" w:space="0" w:color="auto"/>
          </w:divBdr>
        </w:div>
        <w:div w:id="777870708">
          <w:marLeft w:val="907"/>
          <w:marRight w:val="0"/>
          <w:marTop w:val="0"/>
          <w:marBottom w:val="60"/>
          <w:divBdr>
            <w:top w:val="none" w:sz="0" w:space="0" w:color="auto"/>
            <w:left w:val="none" w:sz="0" w:space="0" w:color="auto"/>
            <w:bottom w:val="none" w:sz="0" w:space="0" w:color="auto"/>
            <w:right w:val="none" w:sz="0" w:space="0" w:color="auto"/>
          </w:divBdr>
        </w:div>
        <w:div w:id="1394309527">
          <w:marLeft w:val="907"/>
          <w:marRight w:val="0"/>
          <w:marTop w:val="0"/>
          <w:marBottom w:val="60"/>
          <w:divBdr>
            <w:top w:val="none" w:sz="0" w:space="0" w:color="auto"/>
            <w:left w:val="none" w:sz="0" w:space="0" w:color="auto"/>
            <w:bottom w:val="none" w:sz="0" w:space="0" w:color="auto"/>
            <w:right w:val="none" w:sz="0" w:space="0" w:color="auto"/>
          </w:divBdr>
        </w:div>
        <w:div w:id="1386681608">
          <w:marLeft w:val="907"/>
          <w:marRight w:val="0"/>
          <w:marTop w:val="0"/>
          <w:marBottom w:val="60"/>
          <w:divBdr>
            <w:top w:val="none" w:sz="0" w:space="0" w:color="auto"/>
            <w:left w:val="none" w:sz="0" w:space="0" w:color="auto"/>
            <w:bottom w:val="none" w:sz="0" w:space="0" w:color="auto"/>
            <w:right w:val="none" w:sz="0" w:space="0" w:color="auto"/>
          </w:divBdr>
        </w:div>
        <w:div w:id="1865514614">
          <w:marLeft w:val="907"/>
          <w:marRight w:val="0"/>
          <w:marTop w:val="0"/>
          <w:marBottom w:val="60"/>
          <w:divBdr>
            <w:top w:val="none" w:sz="0" w:space="0" w:color="auto"/>
            <w:left w:val="none" w:sz="0" w:space="0" w:color="auto"/>
            <w:bottom w:val="none" w:sz="0" w:space="0" w:color="auto"/>
            <w:right w:val="none" w:sz="0" w:space="0" w:color="auto"/>
          </w:divBdr>
        </w:div>
        <w:div w:id="351498284">
          <w:marLeft w:val="907"/>
          <w:marRight w:val="0"/>
          <w:marTop w:val="0"/>
          <w:marBottom w:val="60"/>
          <w:divBdr>
            <w:top w:val="none" w:sz="0" w:space="0" w:color="auto"/>
            <w:left w:val="none" w:sz="0" w:space="0" w:color="auto"/>
            <w:bottom w:val="none" w:sz="0" w:space="0" w:color="auto"/>
            <w:right w:val="none" w:sz="0" w:space="0" w:color="auto"/>
          </w:divBdr>
        </w:div>
        <w:div w:id="1683119997">
          <w:marLeft w:val="907"/>
          <w:marRight w:val="0"/>
          <w:marTop w:val="0"/>
          <w:marBottom w:val="60"/>
          <w:divBdr>
            <w:top w:val="none" w:sz="0" w:space="0" w:color="auto"/>
            <w:left w:val="none" w:sz="0" w:space="0" w:color="auto"/>
            <w:bottom w:val="none" w:sz="0" w:space="0" w:color="auto"/>
            <w:right w:val="none" w:sz="0" w:space="0" w:color="auto"/>
          </w:divBdr>
        </w:div>
        <w:div w:id="1756051984">
          <w:marLeft w:val="907"/>
          <w:marRight w:val="0"/>
          <w:marTop w:val="0"/>
          <w:marBottom w:val="60"/>
          <w:divBdr>
            <w:top w:val="none" w:sz="0" w:space="0" w:color="auto"/>
            <w:left w:val="none" w:sz="0" w:space="0" w:color="auto"/>
            <w:bottom w:val="none" w:sz="0" w:space="0" w:color="auto"/>
            <w:right w:val="none" w:sz="0" w:space="0" w:color="auto"/>
          </w:divBdr>
        </w:div>
        <w:div w:id="296254961">
          <w:marLeft w:val="907"/>
          <w:marRight w:val="0"/>
          <w:marTop w:val="0"/>
          <w:marBottom w:val="60"/>
          <w:divBdr>
            <w:top w:val="none" w:sz="0" w:space="0" w:color="auto"/>
            <w:left w:val="none" w:sz="0" w:space="0" w:color="auto"/>
            <w:bottom w:val="none" w:sz="0" w:space="0" w:color="auto"/>
            <w:right w:val="none" w:sz="0" w:space="0" w:color="auto"/>
          </w:divBdr>
        </w:div>
        <w:div w:id="835153221">
          <w:marLeft w:val="907"/>
          <w:marRight w:val="0"/>
          <w:marTop w:val="0"/>
          <w:marBottom w:val="60"/>
          <w:divBdr>
            <w:top w:val="none" w:sz="0" w:space="0" w:color="auto"/>
            <w:left w:val="none" w:sz="0" w:space="0" w:color="auto"/>
            <w:bottom w:val="none" w:sz="0" w:space="0" w:color="auto"/>
            <w:right w:val="none" w:sz="0" w:space="0" w:color="auto"/>
          </w:divBdr>
        </w:div>
        <w:div w:id="573079077">
          <w:marLeft w:val="907"/>
          <w:marRight w:val="0"/>
          <w:marTop w:val="0"/>
          <w:marBottom w:val="60"/>
          <w:divBdr>
            <w:top w:val="none" w:sz="0" w:space="0" w:color="auto"/>
            <w:left w:val="none" w:sz="0" w:space="0" w:color="auto"/>
            <w:bottom w:val="none" w:sz="0" w:space="0" w:color="auto"/>
            <w:right w:val="none" w:sz="0" w:space="0" w:color="auto"/>
          </w:divBdr>
        </w:div>
        <w:div w:id="2040743757">
          <w:marLeft w:val="907"/>
          <w:marRight w:val="0"/>
          <w:marTop w:val="0"/>
          <w:marBottom w:val="60"/>
          <w:divBdr>
            <w:top w:val="none" w:sz="0" w:space="0" w:color="auto"/>
            <w:left w:val="none" w:sz="0" w:space="0" w:color="auto"/>
            <w:bottom w:val="none" w:sz="0" w:space="0" w:color="auto"/>
            <w:right w:val="none" w:sz="0" w:space="0" w:color="auto"/>
          </w:divBdr>
        </w:div>
        <w:div w:id="1836456480">
          <w:marLeft w:val="907"/>
          <w:marRight w:val="0"/>
          <w:marTop w:val="0"/>
          <w:marBottom w:val="60"/>
          <w:divBdr>
            <w:top w:val="none" w:sz="0" w:space="0" w:color="auto"/>
            <w:left w:val="none" w:sz="0" w:space="0" w:color="auto"/>
            <w:bottom w:val="none" w:sz="0" w:space="0" w:color="auto"/>
            <w:right w:val="none" w:sz="0" w:space="0" w:color="auto"/>
          </w:divBdr>
        </w:div>
        <w:div w:id="1090004055">
          <w:marLeft w:val="907"/>
          <w:marRight w:val="0"/>
          <w:marTop w:val="0"/>
          <w:marBottom w:val="60"/>
          <w:divBdr>
            <w:top w:val="none" w:sz="0" w:space="0" w:color="auto"/>
            <w:left w:val="none" w:sz="0" w:space="0" w:color="auto"/>
            <w:bottom w:val="none" w:sz="0" w:space="0" w:color="auto"/>
            <w:right w:val="none" w:sz="0" w:space="0" w:color="auto"/>
          </w:divBdr>
        </w:div>
        <w:div w:id="805666252">
          <w:marLeft w:val="900"/>
          <w:marRight w:val="0"/>
          <w:marTop w:val="0"/>
          <w:marBottom w:val="101"/>
          <w:divBdr>
            <w:top w:val="none" w:sz="0" w:space="0" w:color="auto"/>
            <w:left w:val="none" w:sz="0" w:space="0" w:color="auto"/>
            <w:bottom w:val="none" w:sz="0" w:space="0" w:color="auto"/>
            <w:right w:val="none" w:sz="0" w:space="0" w:color="auto"/>
          </w:divBdr>
        </w:div>
        <w:div w:id="852570302">
          <w:marLeft w:val="900"/>
          <w:marRight w:val="0"/>
          <w:marTop w:val="0"/>
          <w:marBottom w:val="101"/>
          <w:divBdr>
            <w:top w:val="none" w:sz="0" w:space="0" w:color="auto"/>
            <w:left w:val="none" w:sz="0" w:space="0" w:color="auto"/>
            <w:bottom w:val="none" w:sz="0" w:space="0" w:color="auto"/>
            <w:right w:val="none" w:sz="0" w:space="0" w:color="auto"/>
          </w:divBdr>
        </w:div>
        <w:div w:id="1927687020">
          <w:marLeft w:val="907"/>
          <w:marRight w:val="0"/>
          <w:marTop w:val="0"/>
          <w:marBottom w:val="80"/>
          <w:divBdr>
            <w:top w:val="none" w:sz="0" w:space="0" w:color="auto"/>
            <w:left w:val="none" w:sz="0" w:space="0" w:color="auto"/>
            <w:bottom w:val="none" w:sz="0" w:space="0" w:color="auto"/>
            <w:right w:val="none" w:sz="0" w:space="0" w:color="auto"/>
          </w:divBdr>
        </w:div>
        <w:div w:id="1658876039">
          <w:marLeft w:val="907"/>
          <w:marRight w:val="0"/>
          <w:marTop w:val="0"/>
          <w:marBottom w:val="80"/>
          <w:divBdr>
            <w:top w:val="none" w:sz="0" w:space="0" w:color="auto"/>
            <w:left w:val="none" w:sz="0" w:space="0" w:color="auto"/>
            <w:bottom w:val="none" w:sz="0" w:space="0" w:color="auto"/>
            <w:right w:val="none" w:sz="0" w:space="0" w:color="auto"/>
          </w:divBdr>
        </w:div>
        <w:div w:id="634410409">
          <w:marLeft w:val="907"/>
          <w:marRight w:val="0"/>
          <w:marTop w:val="0"/>
          <w:marBottom w:val="80"/>
          <w:divBdr>
            <w:top w:val="none" w:sz="0" w:space="0" w:color="auto"/>
            <w:left w:val="none" w:sz="0" w:space="0" w:color="auto"/>
            <w:bottom w:val="none" w:sz="0" w:space="0" w:color="auto"/>
            <w:right w:val="none" w:sz="0" w:space="0" w:color="auto"/>
          </w:divBdr>
        </w:div>
        <w:div w:id="1126505619">
          <w:marLeft w:val="907"/>
          <w:marRight w:val="0"/>
          <w:marTop w:val="0"/>
          <w:marBottom w:val="80"/>
          <w:divBdr>
            <w:top w:val="none" w:sz="0" w:space="0" w:color="auto"/>
            <w:left w:val="none" w:sz="0" w:space="0" w:color="auto"/>
            <w:bottom w:val="none" w:sz="0" w:space="0" w:color="auto"/>
            <w:right w:val="none" w:sz="0" w:space="0" w:color="auto"/>
          </w:divBdr>
        </w:div>
        <w:div w:id="1315403844">
          <w:marLeft w:val="907"/>
          <w:marRight w:val="0"/>
          <w:marTop w:val="0"/>
          <w:marBottom w:val="80"/>
          <w:divBdr>
            <w:top w:val="none" w:sz="0" w:space="0" w:color="auto"/>
            <w:left w:val="none" w:sz="0" w:space="0" w:color="auto"/>
            <w:bottom w:val="none" w:sz="0" w:space="0" w:color="auto"/>
            <w:right w:val="none" w:sz="0" w:space="0" w:color="auto"/>
          </w:divBdr>
        </w:div>
        <w:div w:id="1902061358">
          <w:marLeft w:val="907"/>
          <w:marRight w:val="0"/>
          <w:marTop w:val="0"/>
          <w:marBottom w:val="80"/>
          <w:divBdr>
            <w:top w:val="none" w:sz="0" w:space="0" w:color="auto"/>
            <w:left w:val="none" w:sz="0" w:space="0" w:color="auto"/>
            <w:bottom w:val="none" w:sz="0" w:space="0" w:color="auto"/>
            <w:right w:val="none" w:sz="0" w:space="0" w:color="auto"/>
          </w:divBdr>
        </w:div>
        <w:div w:id="666978845">
          <w:marLeft w:val="907"/>
          <w:marRight w:val="0"/>
          <w:marTop w:val="0"/>
          <w:marBottom w:val="80"/>
          <w:divBdr>
            <w:top w:val="none" w:sz="0" w:space="0" w:color="auto"/>
            <w:left w:val="none" w:sz="0" w:space="0" w:color="auto"/>
            <w:bottom w:val="none" w:sz="0" w:space="0" w:color="auto"/>
            <w:right w:val="none" w:sz="0" w:space="0" w:color="auto"/>
          </w:divBdr>
        </w:div>
        <w:div w:id="1469132033">
          <w:marLeft w:val="907"/>
          <w:marRight w:val="0"/>
          <w:marTop w:val="0"/>
          <w:marBottom w:val="0"/>
          <w:divBdr>
            <w:top w:val="none" w:sz="0" w:space="0" w:color="auto"/>
            <w:left w:val="none" w:sz="0" w:space="0" w:color="auto"/>
            <w:bottom w:val="none" w:sz="0" w:space="0" w:color="auto"/>
            <w:right w:val="none" w:sz="0" w:space="0" w:color="auto"/>
          </w:divBdr>
        </w:div>
        <w:div w:id="489056826">
          <w:marLeft w:val="907"/>
          <w:marRight w:val="0"/>
          <w:marTop w:val="0"/>
          <w:marBottom w:val="80"/>
          <w:divBdr>
            <w:top w:val="none" w:sz="0" w:space="0" w:color="auto"/>
            <w:left w:val="none" w:sz="0" w:space="0" w:color="auto"/>
            <w:bottom w:val="none" w:sz="0" w:space="0" w:color="auto"/>
            <w:right w:val="none" w:sz="0" w:space="0" w:color="auto"/>
          </w:divBdr>
        </w:div>
        <w:div w:id="1632130167">
          <w:marLeft w:val="907"/>
          <w:marRight w:val="0"/>
          <w:marTop w:val="0"/>
          <w:marBottom w:val="80"/>
          <w:divBdr>
            <w:top w:val="none" w:sz="0" w:space="0" w:color="auto"/>
            <w:left w:val="none" w:sz="0" w:space="0" w:color="auto"/>
            <w:bottom w:val="none" w:sz="0" w:space="0" w:color="auto"/>
            <w:right w:val="none" w:sz="0" w:space="0" w:color="auto"/>
          </w:divBdr>
        </w:div>
        <w:div w:id="2011786631">
          <w:marLeft w:val="907"/>
          <w:marRight w:val="0"/>
          <w:marTop w:val="0"/>
          <w:marBottom w:val="80"/>
          <w:divBdr>
            <w:top w:val="none" w:sz="0" w:space="0" w:color="auto"/>
            <w:left w:val="none" w:sz="0" w:space="0" w:color="auto"/>
            <w:bottom w:val="none" w:sz="0" w:space="0" w:color="auto"/>
            <w:right w:val="none" w:sz="0" w:space="0" w:color="auto"/>
          </w:divBdr>
        </w:div>
        <w:div w:id="132213805">
          <w:marLeft w:val="907"/>
          <w:marRight w:val="0"/>
          <w:marTop w:val="0"/>
          <w:marBottom w:val="101"/>
          <w:divBdr>
            <w:top w:val="none" w:sz="0" w:space="0" w:color="auto"/>
            <w:left w:val="none" w:sz="0" w:space="0" w:color="auto"/>
            <w:bottom w:val="none" w:sz="0" w:space="0" w:color="auto"/>
            <w:right w:val="none" w:sz="0" w:space="0" w:color="auto"/>
          </w:divBdr>
        </w:div>
        <w:div w:id="697269249">
          <w:marLeft w:val="907"/>
          <w:marRight w:val="0"/>
          <w:marTop w:val="0"/>
          <w:marBottom w:val="101"/>
          <w:divBdr>
            <w:top w:val="none" w:sz="0" w:space="0" w:color="auto"/>
            <w:left w:val="none" w:sz="0" w:space="0" w:color="auto"/>
            <w:bottom w:val="none" w:sz="0" w:space="0" w:color="auto"/>
            <w:right w:val="none" w:sz="0" w:space="0" w:color="auto"/>
          </w:divBdr>
        </w:div>
        <w:div w:id="1457411845">
          <w:marLeft w:val="907"/>
          <w:marRight w:val="0"/>
          <w:marTop w:val="0"/>
          <w:marBottom w:val="101"/>
          <w:divBdr>
            <w:top w:val="none" w:sz="0" w:space="0" w:color="auto"/>
            <w:left w:val="none" w:sz="0" w:space="0" w:color="auto"/>
            <w:bottom w:val="none" w:sz="0" w:space="0" w:color="auto"/>
            <w:right w:val="none" w:sz="0" w:space="0" w:color="auto"/>
          </w:divBdr>
        </w:div>
        <w:div w:id="1817141028">
          <w:marLeft w:val="907"/>
          <w:marRight w:val="0"/>
          <w:marTop w:val="0"/>
          <w:marBottom w:val="101"/>
          <w:divBdr>
            <w:top w:val="none" w:sz="0" w:space="0" w:color="auto"/>
            <w:left w:val="none" w:sz="0" w:space="0" w:color="auto"/>
            <w:bottom w:val="none" w:sz="0" w:space="0" w:color="auto"/>
            <w:right w:val="none" w:sz="0" w:space="0" w:color="auto"/>
          </w:divBdr>
        </w:div>
        <w:div w:id="69425802">
          <w:marLeft w:val="907"/>
          <w:marRight w:val="0"/>
          <w:marTop w:val="0"/>
          <w:marBottom w:val="101"/>
          <w:divBdr>
            <w:top w:val="none" w:sz="0" w:space="0" w:color="auto"/>
            <w:left w:val="none" w:sz="0" w:space="0" w:color="auto"/>
            <w:bottom w:val="none" w:sz="0" w:space="0" w:color="auto"/>
            <w:right w:val="none" w:sz="0" w:space="0" w:color="auto"/>
          </w:divBdr>
        </w:div>
        <w:div w:id="228997684">
          <w:marLeft w:val="907"/>
          <w:marRight w:val="0"/>
          <w:marTop w:val="0"/>
          <w:marBottom w:val="101"/>
          <w:divBdr>
            <w:top w:val="none" w:sz="0" w:space="0" w:color="auto"/>
            <w:left w:val="none" w:sz="0" w:space="0" w:color="auto"/>
            <w:bottom w:val="none" w:sz="0" w:space="0" w:color="auto"/>
            <w:right w:val="none" w:sz="0" w:space="0" w:color="auto"/>
          </w:divBdr>
        </w:div>
        <w:div w:id="2057199510">
          <w:marLeft w:val="907"/>
          <w:marRight w:val="0"/>
          <w:marTop w:val="0"/>
          <w:marBottom w:val="101"/>
          <w:divBdr>
            <w:top w:val="none" w:sz="0" w:space="0" w:color="auto"/>
            <w:left w:val="none" w:sz="0" w:space="0" w:color="auto"/>
            <w:bottom w:val="none" w:sz="0" w:space="0" w:color="auto"/>
            <w:right w:val="none" w:sz="0" w:space="0" w:color="auto"/>
          </w:divBdr>
        </w:div>
        <w:div w:id="698504059">
          <w:marLeft w:val="907"/>
          <w:marRight w:val="0"/>
          <w:marTop w:val="0"/>
          <w:marBottom w:val="101"/>
          <w:divBdr>
            <w:top w:val="none" w:sz="0" w:space="0" w:color="auto"/>
            <w:left w:val="none" w:sz="0" w:space="0" w:color="auto"/>
            <w:bottom w:val="none" w:sz="0" w:space="0" w:color="auto"/>
            <w:right w:val="none" w:sz="0" w:space="0" w:color="auto"/>
          </w:divBdr>
        </w:div>
        <w:div w:id="700130948">
          <w:marLeft w:val="907"/>
          <w:marRight w:val="0"/>
          <w:marTop w:val="0"/>
          <w:marBottom w:val="101"/>
          <w:divBdr>
            <w:top w:val="none" w:sz="0" w:space="0" w:color="auto"/>
            <w:left w:val="none" w:sz="0" w:space="0" w:color="auto"/>
            <w:bottom w:val="none" w:sz="0" w:space="0" w:color="auto"/>
            <w:right w:val="none" w:sz="0" w:space="0" w:color="auto"/>
          </w:divBdr>
        </w:div>
        <w:div w:id="570428177">
          <w:marLeft w:val="907"/>
          <w:marRight w:val="0"/>
          <w:marTop w:val="0"/>
          <w:marBottom w:val="101"/>
          <w:divBdr>
            <w:top w:val="none" w:sz="0" w:space="0" w:color="auto"/>
            <w:left w:val="none" w:sz="0" w:space="0" w:color="auto"/>
            <w:bottom w:val="none" w:sz="0" w:space="0" w:color="auto"/>
            <w:right w:val="none" w:sz="0" w:space="0" w:color="auto"/>
          </w:divBdr>
        </w:div>
        <w:div w:id="429202198">
          <w:marLeft w:val="907"/>
          <w:marRight w:val="0"/>
          <w:marTop w:val="0"/>
          <w:marBottom w:val="101"/>
          <w:divBdr>
            <w:top w:val="none" w:sz="0" w:space="0" w:color="auto"/>
            <w:left w:val="none" w:sz="0" w:space="0" w:color="auto"/>
            <w:bottom w:val="none" w:sz="0" w:space="0" w:color="auto"/>
            <w:right w:val="none" w:sz="0" w:space="0" w:color="auto"/>
          </w:divBdr>
        </w:div>
        <w:div w:id="828903290">
          <w:marLeft w:val="907"/>
          <w:marRight w:val="0"/>
          <w:marTop w:val="0"/>
          <w:marBottom w:val="101"/>
          <w:divBdr>
            <w:top w:val="none" w:sz="0" w:space="0" w:color="auto"/>
            <w:left w:val="none" w:sz="0" w:space="0" w:color="auto"/>
            <w:bottom w:val="none" w:sz="0" w:space="0" w:color="auto"/>
            <w:right w:val="none" w:sz="0" w:space="0" w:color="auto"/>
          </w:divBdr>
        </w:div>
        <w:div w:id="1175875063">
          <w:marLeft w:val="907"/>
          <w:marRight w:val="0"/>
          <w:marTop w:val="0"/>
          <w:marBottom w:val="101"/>
          <w:divBdr>
            <w:top w:val="none" w:sz="0" w:space="0" w:color="auto"/>
            <w:left w:val="none" w:sz="0" w:space="0" w:color="auto"/>
            <w:bottom w:val="none" w:sz="0" w:space="0" w:color="auto"/>
            <w:right w:val="none" w:sz="0" w:space="0" w:color="auto"/>
          </w:divBdr>
        </w:div>
        <w:div w:id="881794612">
          <w:marLeft w:val="907"/>
          <w:marRight w:val="0"/>
          <w:marTop w:val="0"/>
          <w:marBottom w:val="101"/>
          <w:divBdr>
            <w:top w:val="none" w:sz="0" w:space="0" w:color="auto"/>
            <w:left w:val="none" w:sz="0" w:space="0" w:color="auto"/>
            <w:bottom w:val="none" w:sz="0" w:space="0" w:color="auto"/>
            <w:right w:val="none" w:sz="0" w:space="0" w:color="auto"/>
          </w:divBdr>
        </w:div>
        <w:div w:id="1174688297">
          <w:marLeft w:val="907"/>
          <w:marRight w:val="0"/>
          <w:marTop w:val="0"/>
          <w:marBottom w:val="101"/>
          <w:divBdr>
            <w:top w:val="none" w:sz="0" w:space="0" w:color="auto"/>
            <w:left w:val="none" w:sz="0" w:space="0" w:color="auto"/>
            <w:bottom w:val="none" w:sz="0" w:space="0" w:color="auto"/>
            <w:right w:val="none" w:sz="0" w:space="0" w:color="auto"/>
          </w:divBdr>
        </w:div>
        <w:div w:id="442725744">
          <w:marLeft w:val="907"/>
          <w:marRight w:val="0"/>
          <w:marTop w:val="0"/>
          <w:marBottom w:val="101"/>
          <w:divBdr>
            <w:top w:val="none" w:sz="0" w:space="0" w:color="auto"/>
            <w:left w:val="none" w:sz="0" w:space="0" w:color="auto"/>
            <w:bottom w:val="none" w:sz="0" w:space="0" w:color="auto"/>
            <w:right w:val="none" w:sz="0" w:space="0" w:color="auto"/>
          </w:divBdr>
        </w:div>
        <w:div w:id="1976255312">
          <w:marLeft w:val="900"/>
          <w:marRight w:val="0"/>
          <w:marTop w:val="0"/>
          <w:marBottom w:val="101"/>
          <w:divBdr>
            <w:top w:val="none" w:sz="0" w:space="0" w:color="auto"/>
            <w:left w:val="none" w:sz="0" w:space="0" w:color="auto"/>
            <w:bottom w:val="none" w:sz="0" w:space="0" w:color="auto"/>
            <w:right w:val="none" w:sz="0" w:space="0" w:color="auto"/>
          </w:divBdr>
        </w:div>
        <w:div w:id="2099135709">
          <w:marLeft w:val="900"/>
          <w:marRight w:val="0"/>
          <w:marTop w:val="0"/>
          <w:marBottom w:val="101"/>
          <w:divBdr>
            <w:top w:val="none" w:sz="0" w:space="0" w:color="auto"/>
            <w:left w:val="none" w:sz="0" w:space="0" w:color="auto"/>
            <w:bottom w:val="none" w:sz="0" w:space="0" w:color="auto"/>
            <w:right w:val="none" w:sz="0" w:space="0" w:color="auto"/>
          </w:divBdr>
        </w:div>
        <w:div w:id="2126536888">
          <w:marLeft w:val="900"/>
          <w:marRight w:val="0"/>
          <w:marTop w:val="0"/>
          <w:marBottom w:val="101"/>
          <w:divBdr>
            <w:top w:val="none" w:sz="0" w:space="0" w:color="auto"/>
            <w:left w:val="none" w:sz="0" w:space="0" w:color="auto"/>
            <w:bottom w:val="none" w:sz="0" w:space="0" w:color="auto"/>
            <w:right w:val="none" w:sz="0" w:space="0" w:color="auto"/>
          </w:divBdr>
        </w:div>
        <w:div w:id="567693436">
          <w:marLeft w:val="900"/>
          <w:marRight w:val="0"/>
          <w:marTop w:val="0"/>
          <w:marBottom w:val="101"/>
          <w:divBdr>
            <w:top w:val="none" w:sz="0" w:space="0" w:color="auto"/>
            <w:left w:val="none" w:sz="0" w:space="0" w:color="auto"/>
            <w:bottom w:val="none" w:sz="0" w:space="0" w:color="auto"/>
            <w:right w:val="none" w:sz="0" w:space="0" w:color="auto"/>
          </w:divBdr>
        </w:div>
        <w:div w:id="1182167097">
          <w:marLeft w:val="900"/>
          <w:marRight w:val="0"/>
          <w:marTop w:val="0"/>
          <w:marBottom w:val="101"/>
          <w:divBdr>
            <w:top w:val="none" w:sz="0" w:space="0" w:color="auto"/>
            <w:left w:val="none" w:sz="0" w:space="0" w:color="auto"/>
            <w:bottom w:val="none" w:sz="0" w:space="0" w:color="auto"/>
            <w:right w:val="none" w:sz="0" w:space="0" w:color="auto"/>
          </w:divBdr>
        </w:div>
        <w:div w:id="1878397169">
          <w:marLeft w:val="900"/>
          <w:marRight w:val="0"/>
          <w:marTop w:val="0"/>
          <w:marBottom w:val="101"/>
          <w:divBdr>
            <w:top w:val="none" w:sz="0" w:space="0" w:color="auto"/>
            <w:left w:val="none" w:sz="0" w:space="0" w:color="auto"/>
            <w:bottom w:val="none" w:sz="0" w:space="0" w:color="auto"/>
            <w:right w:val="none" w:sz="0" w:space="0" w:color="auto"/>
          </w:divBdr>
        </w:div>
        <w:div w:id="1975526114">
          <w:marLeft w:val="1260"/>
          <w:marRight w:val="0"/>
          <w:marTop w:val="0"/>
          <w:marBottom w:val="101"/>
          <w:divBdr>
            <w:top w:val="none" w:sz="0" w:space="0" w:color="auto"/>
            <w:left w:val="none" w:sz="0" w:space="0" w:color="auto"/>
            <w:bottom w:val="none" w:sz="0" w:space="0" w:color="auto"/>
            <w:right w:val="none" w:sz="0" w:space="0" w:color="auto"/>
          </w:divBdr>
        </w:div>
        <w:div w:id="969164088">
          <w:marLeft w:val="1260"/>
          <w:marRight w:val="0"/>
          <w:marTop w:val="0"/>
          <w:marBottom w:val="101"/>
          <w:divBdr>
            <w:top w:val="none" w:sz="0" w:space="0" w:color="auto"/>
            <w:left w:val="none" w:sz="0" w:space="0" w:color="auto"/>
            <w:bottom w:val="none" w:sz="0" w:space="0" w:color="auto"/>
            <w:right w:val="none" w:sz="0" w:space="0" w:color="auto"/>
          </w:divBdr>
        </w:div>
        <w:div w:id="511994080">
          <w:marLeft w:val="1620"/>
          <w:marRight w:val="0"/>
          <w:marTop w:val="0"/>
          <w:marBottom w:val="101"/>
          <w:divBdr>
            <w:top w:val="none" w:sz="0" w:space="0" w:color="auto"/>
            <w:left w:val="none" w:sz="0" w:space="0" w:color="auto"/>
            <w:bottom w:val="none" w:sz="0" w:space="0" w:color="auto"/>
            <w:right w:val="none" w:sz="0" w:space="0" w:color="auto"/>
          </w:divBdr>
        </w:div>
        <w:div w:id="1924872141">
          <w:marLeft w:val="1620"/>
          <w:marRight w:val="0"/>
          <w:marTop w:val="0"/>
          <w:marBottom w:val="101"/>
          <w:divBdr>
            <w:top w:val="none" w:sz="0" w:space="0" w:color="auto"/>
            <w:left w:val="none" w:sz="0" w:space="0" w:color="auto"/>
            <w:bottom w:val="none" w:sz="0" w:space="0" w:color="auto"/>
            <w:right w:val="none" w:sz="0" w:space="0" w:color="auto"/>
          </w:divBdr>
        </w:div>
        <w:div w:id="1110474259">
          <w:marLeft w:val="900"/>
          <w:marRight w:val="0"/>
          <w:marTop w:val="0"/>
          <w:marBottom w:val="101"/>
          <w:divBdr>
            <w:top w:val="none" w:sz="0" w:space="0" w:color="auto"/>
            <w:left w:val="none" w:sz="0" w:space="0" w:color="auto"/>
            <w:bottom w:val="none" w:sz="0" w:space="0" w:color="auto"/>
            <w:right w:val="none" w:sz="0" w:space="0" w:color="auto"/>
          </w:divBdr>
        </w:div>
        <w:div w:id="1168640735">
          <w:marLeft w:val="900"/>
          <w:marRight w:val="0"/>
          <w:marTop w:val="0"/>
          <w:marBottom w:val="101"/>
          <w:divBdr>
            <w:top w:val="none" w:sz="0" w:space="0" w:color="auto"/>
            <w:left w:val="none" w:sz="0" w:space="0" w:color="auto"/>
            <w:bottom w:val="none" w:sz="0" w:space="0" w:color="auto"/>
            <w:right w:val="none" w:sz="0" w:space="0" w:color="auto"/>
          </w:divBdr>
        </w:div>
        <w:div w:id="376856484">
          <w:marLeft w:val="0"/>
          <w:marRight w:val="0"/>
          <w:marTop w:val="0"/>
          <w:marBottom w:val="101"/>
          <w:divBdr>
            <w:top w:val="none" w:sz="0" w:space="0" w:color="auto"/>
            <w:left w:val="none" w:sz="0" w:space="0" w:color="auto"/>
            <w:bottom w:val="none" w:sz="0" w:space="0" w:color="auto"/>
            <w:right w:val="none" w:sz="0" w:space="0" w:color="auto"/>
          </w:divBdr>
        </w:div>
        <w:div w:id="997030552">
          <w:marLeft w:val="907"/>
          <w:marRight w:val="0"/>
          <w:marTop w:val="0"/>
          <w:marBottom w:val="101"/>
          <w:divBdr>
            <w:top w:val="none" w:sz="0" w:space="0" w:color="auto"/>
            <w:left w:val="none" w:sz="0" w:space="0" w:color="auto"/>
            <w:bottom w:val="none" w:sz="0" w:space="0" w:color="auto"/>
            <w:right w:val="none" w:sz="0" w:space="0" w:color="auto"/>
          </w:divBdr>
        </w:div>
        <w:div w:id="1346244606">
          <w:marLeft w:val="907"/>
          <w:marRight w:val="0"/>
          <w:marTop w:val="0"/>
          <w:marBottom w:val="101"/>
          <w:divBdr>
            <w:top w:val="none" w:sz="0" w:space="0" w:color="auto"/>
            <w:left w:val="none" w:sz="0" w:space="0" w:color="auto"/>
            <w:bottom w:val="none" w:sz="0" w:space="0" w:color="auto"/>
            <w:right w:val="none" w:sz="0" w:space="0" w:color="auto"/>
          </w:divBdr>
        </w:div>
        <w:div w:id="152765753">
          <w:marLeft w:val="907"/>
          <w:marRight w:val="0"/>
          <w:marTop w:val="0"/>
          <w:marBottom w:val="101"/>
          <w:divBdr>
            <w:top w:val="none" w:sz="0" w:space="0" w:color="auto"/>
            <w:left w:val="none" w:sz="0" w:space="0" w:color="auto"/>
            <w:bottom w:val="none" w:sz="0" w:space="0" w:color="auto"/>
            <w:right w:val="none" w:sz="0" w:space="0" w:color="auto"/>
          </w:divBdr>
        </w:div>
        <w:div w:id="1801454285">
          <w:marLeft w:val="900"/>
          <w:marRight w:val="0"/>
          <w:marTop w:val="0"/>
          <w:marBottom w:val="101"/>
          <w:divBdr>
            <w:top w:val="none" w:sz="0" w:space="0" w:color="auto"/>
            <w:left w:val="none" w:sz="0" w:space="0" w:color="auto"/>
            <w:bottom w:val="none" w:sz="0" w:space="0" w:color="auto"/>
            <w:right w:val="none" w:sz="0" w:space="0" w:color="auto"/>
          </w:divBdr>
        </w:div>
        <w:div w:id="120223491">
          <w:marLeft w:val="900"/>
          <w:marRight w:val="0"/>
          <w:marTop w:val="0"/>
          <w:marBottom w:val="101"/>
          <w:divBdr>
            <w:top w:val="none" w:sz="0" w:space="0" w:color="auto"/>
            <w:left w:val="none" w:sz="0" w:space="0" w:color="auto"/>
            <w:bottom w:val="none" w:sz="0" w:space="0" w:color="auto"/>
            <w:right w:val="none" w:sz="0" w:space="0" w:color="auto"/>
          </w:divBdr>
        </w:div>
        <w:div w:id="1405102647">
          <w:marLeft w:val="900"/>
          <w:marRight w:val="0"/>
          <w:marTop w:val="0"/>
          <w:marBottom w:val="101"/>
          <w:divBdr>
            <w:top w:val="none" w:sz="0" w:space="0" w:color="auto"/>
            <w:left w:val="none" w:sz="0" w:space="0" w:color="auto"/>
            <w:bottom w:val="none" w:sz="0" w:space="0" w:color="auto"/>
            <w:right w:val="none" w:sz="0" w:space="0" w:color="auto"/>
          </w:divBdr>
        </w:div>
        <w:div w:id="631983456">
          <w:marLeft w:val="900"/>
          <w:marRight w:val="0"/>
          <w:marTop w:val="0"/>
          <w:marBottom w:val="101"/>
          <w:divBdr>
            <w:top w:val="none" w:sz="0" w:space="0" w:color="auto"/>
            <w:left w:val="none" w:sz="0" w:space="0" w:color="auto"/>
            <w:bottom w:val="none" w:sz="0" w:space="0" w:color="auto"/>
            <w:right w:val="none" w:sz="0" w:space="0" w:color="auto"/>
          </w:divBdr>
        </w:div>
        <w:div w:id="1743478061">
          <w:marLeft w:val="900"/>
          <w:marRight w:val="0"/>
          <w:marTop w:val="0"/>
          <w:marBottom w:val="101"/>
          <w:divBdr>
            <w:top w:val="none" w:sz="0" w:space="0" w:color="auto"/>
            <w:left w:val="none" w:sz="0" w:space="0" w:color="auto"/>
            <w:bottom w:val="none" w:sz="0" w:space="0" w:color="auto"/>
            <w:right w:val="none" w:sz="0" w:space="0" w:color="auto"/>
          </w:divBdr>
        </w:div>
        <w:div w:id="952369624">
          <w:marLeft w:val="1260"/>
          <w:marRight w:val="0"/>
          <w:marTop w:val="0"/>
          <w:marBottom w:val="101"/>
          <w:divBdr>
            <w:top w:val="none" w:sz="0" w:space="0" w:color="auto"/>
            <w:left w:val="none" w:sz="0" w:space="0" w:color="auto"/>
            <w:bottom w:val="none" w:sz="0" w:space="0" w:color="auto"/>
            <w:right w:val="none" w:sz="0" w:space="0" w:color="auto"/>
          </w:divBdr>
        </w:div>
        <w:div w:id="999504061">
          <w:marLeft w:val="1260"/>
          <w:marRight w:val="0"/>
          <w:marTop w:val="0"/>
          <w:marBottom w:val="101"/>
          <w:divBdr>
            <w:top w:val="none" w:sz="0" w:space="0" w:color="auto"/>
            <w:left w:val="none" w:sz="0" w:space="0" w:color="auto"/>
            <w:bottom w:val="none" w:sz="0" w:space="0" w:color="auto"/>
            <w:right w:val="none" w:sz="0" w:space="0" w:color="auto"/>
          </w:divBdr>
        </w:div>
        <w:div w:id="1417944753">
          <w:marLeft w:val="1620"/>
          <w:marRight w:val="0"/>
          <w:marTop w:val="0"/>
          <w:marBottom w:val="101"/>
          <w:divBdr>
            <w:top w:val="none" w:sz="0" w:space="0" w:color="auto"/>
            <w:left w:val="none" w:sz="0" w:space="0" w:color="auto"/>
            <w:bottom w:val="none" w:sz="0" w:space="0" w:color="auto"/>
            <w:right w:val="none" w:sz="0" w:space="0" w:color="auto"/>
          </w:divBdr>
        </w:div>
        <w:div w:id="2003848041">
          <w:marLeft w:val="1620"/>
          <w:marRight w:val="0"/>
          <w:marTop w:val="0"/>
          <w:marBottom w:val="101"/>
          <w:divBdr>
            <w:top w:val="none" w:sz="0" w:space="0" w:color="auto"/>
            <w:left w:val="none" w:sz="0" w:space="0" w:color="auto"/>
            <w:bottom w:val="none" w:sz="0" w:space="0" w:color="auto"/>
            <w:right w:val="none" w:sz="0" w:space="0" w:color="auto"/>
          </w:divBdr>
        </w:div>
        <w:div w:id="409693049">
          <w:marLeft w:val="900"/>
          <w:marRight w:val="0"/>
          <w:marTop w:val="0"/>
          <w:marBottom w:val="101"/>
          <w:divBdr>
            <w:top w:val="none" w:sz="0" w:space="0" w:color="auto"/>
            <w:left w:val="none" w:sz="0" w:space="0" w:color="auto"/>
            <w:bottom w:val="none" w:sz="0" w:space="0" w:color="auto"/>
            <w:right w:val="none" w:sz="0" w:space="0" w:color="auto"/>
          </w:divBdr>
        </w:div>
        <w:div w:id="677004779">
          <w:marLeft w:val="900"/>
          <w:marRight w:val="0"/>
          <w:marTop w:val="0"/>
          <w:marBottom w:val="101"/>
          <w:divBdr>
            <w:top w:val="none" w:sz="0" w:space="0" w:color="auto"/>
            <w:left w:val="none" w:sz="0" w:space="0" w:color="auto"/>
            <w:bottom w:val="none" w:sz="0" w:space="0" w:color="auto"/>
            <w:right w:val="none" w:sz="0" w:space="0" w:color="auto"/>
          </w:divBdr>
        </w:div>
        <w:div w:id="1668359423">
          <w:marLeft w:val="900"/>
          <w:marRight w:val="0"/>
          <w:marTop w:val="0"/>
          <w:marBottom w:val="101"/>
          <w:divBdr>
            <w:top w:val="none" w:sz="0" w:space="0" w:color="auto"/>
            <w:left w:val="none" w:sz="0" w:space="0" w:color="auto"/>
            <w:bottom w:val="none" w:sz="0" w:space="0" w:color="auto"/>
            <w:right w:val="none" w:sz="0" w:space="0" w:color="auto"/>
          </w:divBdr>
        </w:div>
        <w:div w:id="1540586970">
          <w:marLeft w:val="900"/>
          <w:marRight w:val="0"/>
          <w:marTop w:val="0"/>
          <w:marBottom w:val="101"/>
          <w:divBdr>
            <w:top w:val="none" w:sz="0" w:space="0" w:color="auto"/>
            <w:left w:val="none" w:sz="0" w:space="0" w:color="auto"/>
            <w:bottom w:val="none" w:sz="0" w:space="0" w:color="auto"/>
            <w:right w:val="none" w:sz="0" w:space="0" w:color="auto"/>
          </w:divBdr>
        </w:div>
        <w:div w:id="1104616360">
          <w:marLeft w:val="907"/>
          <w:marRight w:val="0"/>
          <w:marTop w:val="0"/>
          <w:marBottom w:val="101"/>
          <w:divBdr>
            <w:top w:val="none" w:sz="0" w:space="0" w:color="auto"/>
            <w:left w:val="none" w:sz="0" w:space="0" w:color="auto"/>
            <w:bottom w:val="none" w:sz="0" w:space="0" w:color="auto"/>
            <w:right w:val="none" w:sz="0" w:space="0" w:color="auto"/>
          </w:divBdr>
        </w:div>
        <w:div w:id="254092408">
          <w:marLeft w:val="900"/>
          <w:marRight w:val="0"/>
          <w:marTop w:val="0"/>
          <w:marBottom w:val="101"/>
          <w:divBdr>
            <w:top w:val="none" w:sz="0" w:space="0" w:color="auto"/>
            <w:left w:val="none" w:sz="0" w:space="0" w:color="auto"/>
            <w:bottom w:val="none" w:sz="0" w:space="0" w:color="auto"/>
            <w:right w:val="none" w:sz="0" w:space="0" w:color="auto"/>
          </w:divBdr>
        </w:div>
        <w:div w:id="693917648">
          <w:marLeft w:val="907"/>
          <w:marRight w:val="0"/>
          <w:marTop w:val="0"/>
          <w:marBottom w:val="101"/>
          <w:divBdr>
            <w:top w:val="none" w:sz="0" w:space="0" w:color="auto"/>
            <w:left w:val="none" w:sz="0" w:space="0" w:color="auto"/>
            <w:bottom w:val="none" w:sz="0" w:space="0" w:color="auto"/>
            <w:right w:val="none" w:sz="0" w:space="0" w:color="auto"/>
          </w:divBdr>
        </w:div>
        <w:div w:id="1763186679">
          <w:marLeft w:val="900"/>
          <w:marRight w:val="0"/>
          <w:marTop w:val="0"/>
          <w:marBottom w:val="101"/>
          <w:divBdr>
            <w:top w:val="none" w:sz="0" w:space="0" w:color="auto"/>
            <w:left w:val="none" w:sz="0" w:space="0" w:color="auto"/>
            <w:bottom w:val="none" w:sz="0" w:space="0" w:color="auto"/>
            <w:right w:val="none" w:sz="0" w:space="0" w:color="auto"/>
          </w:divBdr>
        </w:div>
        <w:div w:id="1794443494">
          <w:marLeft w:val="900"/>
          <w:marRight w:val="0"/>
          <w:marTop w:val="0"/>
          <w:marBottom w:val="101"/>
          <w:divBdr>
            <w:top w:val="none" w:sz="0" w:space="0" w:color="auto"/>
            <w:left w:val="none" w:sz="0" w:space="0" w:color="auto"/>
            <w:bottom w:val="none" w:sz="0" w:space="0" w:color="auto"/>
            <w:right w:val="none" w:sz="0" w:space="0" w:color="auto"/>
          </w:divBdr>
        </w:div>
        <w:div w:id="1582375594">
          <w:marLeft w:val="900"/>
          <w:marRight w:val="0"/>
          <w:marTop w:val="0"/>
          <w:marBottom w:val="101"/>
          <w:divBdr>
            <w:top w:val="none" w:sz="0" w:space="0" w:color="auto"/>
            <w:left w:val="none" w:sz="0" w:space="0" w:color="auto"/>
            <w:bottom w:val="none" w:sz="0" w:space="0" w:color="auto"/>
            <w:right w:val="none" w:sz="0" w:space="0" w:color="auto"/>
          </w:divBdr>
        </w:div>
        <w:div w:id="1841693696">
          <w:marLeft w:val="900"/>
          <w:marRight w:val="0"/>
          <w:marTop w:val="0"/>
          <w:marBottom w:val="101"/>
          <w:divBdr>
            <w:top w:val="none" w:sz="0" w:space="0" w:color="auto"/>
            <w:left w:val="none" w:sz="0" w:space="0" w:color="auto"/>
            <w:bottom w:val="none" w:sz="0" w:space="0" w:color="auto"/>
            <w:right w:val="none" w:sz="0" w:space="0" w:color="auto"/>
          </w:divBdr>
        </w:div>
        <w:div w:id="15085131">
          <w:marLeft w:val="900"/>
          <w:marRight w:val="0"/>
          <w:marTop w:val="0"/>
          <w:marBottom w:val="101"/>
          <w:divBdr>
            <w:top w:val="none" w:sz="0" w:space="0" w:color="auto"/>
            <w:left w:val="none" w:sz="0" w:space="0" w:color="auto"/>
            <w:bottom w:val="none" w:sz="0" w:space="0" w:color="auto"/>
            <w:right w:val="none" w:sz="0" w:space="0" w:color="auto"/>
          </w:divBdr>
        </w:div>
        <w:div w:id="13465986">
          <w:marLeft w:val="900"/>
          <w:marRight w:val="0"/>
          <w:marTop w:val="0"/>
          <w:marBottom w:val="101"/>
          <w:divBdr>
            <w:top w:val="none" w:sz="0" w:space="0" w:color="auto"/>
            <w:left w:val="none" w:sz="0" w:space="0" w:color="auto"/>
            <w:bottom w:val="none" w:sz="0" w:space="0" w:color="auto"/>
            <w:right w:val="none" w:sz="0" w:space="0" w:color="auto"/>
          </w:divBdr>
        </w:div>
        <w:div w:id="197356991">
          <w:marLeft w:val="900"/>
          <w:marRight w:val="0"/>
          <w:marTop w:val="0"/>
          <w:marBottom w:val="101"/>
          <w:divBdr>
            <w:top w:val="none" w:sz="0" w:space="0" w:color="auto"/>
            <w:left w:val="none" w:sz="0" w:space="0" w:color="auto"/>
            <w:bottom w:val="none" w:sz="0" w:space="0" w:color="auto"/>
            <w:right w:val="none" w:sz="0" w:space="0" w:color="auto"/>
          </w:divBdr>
        </w:div>
        <w:div w:id="1392532364">
          <w:marLeft w:val="900"/>
          <w:marRight w:val="0"/>
          <w:marTop w:val="0"/>
          <w:marBottom w:val="101"/>
          <w:divBdr>
            <w:top w:val="none" w:sz="0" w:space="0" w:color="auto"/>
            <w:left w:val="none" w:sz="0" w:space="0" w:color="auto"/>
            <w:bottom w:val="none" w:sz="0" w:space="0" w:color="auto"/>
            <w:right w:val="none" w:sz="0" w:space="0" w:color="auto"/>
          </w:divBdr>
        </w:div>
        <w:div w:id="1038969672">
          <w:marLeft w:val="900"/>
          <w:marRight w:val="0"/>
          <w:marTop w:val="0"/>
          <w:marBottom w:val="101"/>
          <w:divBdr>
            <w:top w:val="none" w:sz="0" w:space="0" w:color="auto"/>
            <w:left w:val="none" w:sz="0" w:space="0" w:color="auto"/>
            <w:bottom w:val="none" w:sz="0" w:space="0" w:color="auto"/>
            <w:right w:val="none" w:sz="0" w:space="0" w:color="auto"/>
          </w:divBdr>
        </w:div>
        <w:div w:id="1390882088">
          <w:marLeft w:val="900"/>
          <w:marRight w:val="0"/>
          <w:marTop w:val="0"/>
          <w:marBottom w:val="101"/>
          <w:divBdr>
            <w:top w:val="none" w:sz="0" w:space="0" w:color="auto"/>
            <w:left w:val="none" w:sz="0" w:space="0" w:color="auto"/>
            <w:bottom w:val="none" w:sz="0" w:space="0" w:color="auto"/>
            <w:right w:val="none" w:sz="0" w:space="0" w:color="auto"/>
          </w:divBdr>
        </w:div>
        <w:div w:id="1854998261">
          <w:marLeft w:val="900"/>
          <w:marRight w:val="0"/>
          <w:marTop w:val="0"/>
          <w:marBottom w:val="101"/>
          <w:divBdr>
            <w:top w:val="none" w:sz="0" w:space="0" w:color="auto"/>
            <w:left w:val="none" w:sz="0" w:space="0" w:color="auto"/>
            <w:bottom w:val="none" w:sz="0" w:space="0" w:color="auto"/>
            <w:right w:val="none" w:sz="0" w:space="0" w:color="auto"/>
          </w:divBdr>
        </w:div>
        <w:div w:id="1759792313">
          <w:marLeft w:val="900"/>
          <w:marRight w:val="0"/>
          <w:marTop w:val="0"/>
          <w:marBottom w:val="101"/>
          <w:divBdr>
            <w:top w:val="none" w:sz="0" w:space="0" w:color="auto"/>
            <w:left w:val="none" w:sz="0" w:space="0" w:color="auto"/>
            <w:bottom w:val="none" w:sz="0" w:space="0" w:color="auto"/>
            <w:right w:val="none" w:sz="0" w:space="0" w:color="auto"/>
          </w:divBdr>
        </w:div>
        <w:div w:id="1682320958">
          <w:marLeft w:val="1260"/>
          <w:marRight w:val="0"/>
          <w:marTop w:val="0"/>
          <w:marBottom w:val="101"/>
          <w:divBdr>
            <w:top w:val="none" w:sz="0" w:space="0" w:color="auto"/>
            <w:left w:val="none" w:sz="0" w:space="0" w:color="auto"/>
            <w:bottom w:val="none" w:sz="0" w:space="0" w:color="auto"/>
            <w:right w:val="none" w:sz="0" w:space="0" w:color="auto"/>
          </w:divBdr>
        </w:div>
        <w:div w:id="145899830">
          <w:marLeft w:val="1260"/>
          <w:marRight w:val="0"/>
          <w:marTop w:val="0"/>
          <w:marBottom w:val="101"/>
          <w:divBdr>
            <w:top w:val="none" w:sz="0" w:space="0" w:color="auto"/>
            <w:left w:val="none" w:sz="0" w:space="0" w:color="auto"/>
            <w:bottom w:val="none" w:sz="0" w:space="0" w:color="auto"/>
            <w:right w:val="none" w:sz="0" w:space="0" w:color="auto"/>
          </w:divBdr>
        </w:div>
        <w:div w:id="1215001955">
          <w:marLeft w:val="1260"/>
          <w:marRight w:val="0"/>
          <w:marTop w:val="0"/>
          <w:marBottom w:val="101"/>
          <w:divBdr>
            <w:top w:val="none" w:sz="0" w:space="0" w:color="auto"/>
            <w:left w:val="none" w:sz="0" w:space="0" w:color="auto"/>
            <w:bottom w:val="none" w:sz="0" w:space="0" w:color="auto"/>
            <w:right w:val="none" w:sz="0" w:space="0" w:color="auto"/>
          </w:divBdr>
        </w:div>
        <w:div w:id="2038042739">
          <w:marLeft w:val="1260"/>
          <w:marRight w:val="0"/>
          <w:marTop w:val="0"/>
          <w:marBottom w:val="101"/>
          <w:divBdr>
            <w:top w:val="none" w:sz="0" w:space="0" w:color="auto"/>
            <w:left w:val="none" w:sz="0" w:space="0" w:color="auto"/>
            <w:bottom w:val="none" w:sz="0" w:space="0" w:color="auto"/>
            <w:right w:val="none" w:sz="0" w:space="0" w:color="auto"/>
          </w:divBdr>
        </w:div>
        <w:div w:id="129564871">
          <w:marLeft w:val="900"/>
          <w:marRight w:val="0"/>
          <w:marTop w:val="0"/>
          <w:marBottom w:val="101"/>
          <w:divBdr>
            <w:top w:val="none" w:sz="0" w:space="0" w:color="auto"/>
            <w:left w:val="none" w:sz="0" w:space="0" w:color="auto"/>
            <w:bottom w:val="none" w:sz="0" w:space="0" w:color="auto"/>
            <w:right w:val="none" w:sz="0" w:space="0" w:color="auto"/>
          </w:divBdr>
        </w:div>
        <w:div w:id="1805808314">
          <w:marLeft w:val="900"/>
          <w:marRight w:val="0"/>
          <w:marTop w:val="0"/>
          <w:marBottom w:val="101"/>
          <w:divBdr>
            <w:top w:val="none" w:sz="0" w:space="0" w:color="auto"/>
            <w:left w:val="none" w:sz="0" w:space="0" w:color="auto"/>
            <w:bottom w:val="none" w:sz="0" w:space="0" w:color="auto"/>
            <w:right w:val="none" w:sz="0" w:space="0" w:color="auto"/>
          </w:divBdr>
        </w:div>
        <w:div w:id="92283778">
          <w:marLeft w:val="900"/>
          <w:marRight w:val="0"/>
          <w:marTop w:val="0"/>
          <w:marBottom w:val="90"/>
          <w:divBdr>
            <w:top w:val="none" w:sz="0" w:space="0" w:color="auto"/>
            <w:left w:val="none" w:sz="0" w:space="0" w:color="auto"/>
            <w:bottom w:val="none" w:sz="0" w:space="0" w:color="auto"/>
            <w:right w:val="none" w:sz="0" w:space="0" w:color="auto"/>
          </w:divBdr>
        </w:div>
        <w:div w:id="979579693">
          <w:marLeft w:val="900"/>
          <w:marRight w:val="0"/>
          <w:marTop w:val="0"/>
          <w:marBottom w:val="90"/>
          <w:divBdr>
            <w:top w:val="none" w:sz="0" w:space="0" w:color="auto"/>
            <w:left w:val="none" w:sz="0" w:space="0" w:color="auto"/>
            <w:bottom w:val="none" w:sz="0" w:space="0" w:color="auto"/>
            <w:right w:val="none" w:sz="0" w:space="0" w:color="auto"/>
          </w:divBdr>
        </w:div>
        <w:div w:id="1285500800">
          <w:marLeft w:val="1260"/>
          <w:marRight w:val="0"/>
          <w:marTop w:val="0"/>
          <w:marBottom w:val="90"/>
          <w:divBdr>
            <w:top w:val="none" w:sz="0" w:space="0" w:color="auto"/>
            <w:left w:val="none" w:sz="0" w:space="0" w:color="auto"/>
            <w:bottom w:val="none" w:sz="0" w:space="0" w:color="auto"/>
            <w:right w:val="none" w:sz="0" w:space="0" w:color="auto"/>
          </w:divBdr>
        </w:div>
        <w:div w:id="1264144527">
          <w:marLeft w:val="1260"/>
          <w:marRight w:val="0"/>
          <w:marTop w:val="0"/>
          <w:marBottom w:val="90"/>
          <w:divBdr>
            <w:top w:val="none" w:sz="0" w:space="0" w:color="auto"/>
            <w:left w:val="none" w:sz="0" w:space="0" w:color="auto"/>
            <w:bottom w:val="none" w:sz="0" w:space="0" w:color="auto"/>
            <w:right w:val="none" w:sz="0" w:space="0" w:color="auto"/>
          </w:divBdr>
        </w:div>
        <w:div w:id="466751706">
          <w:marLeft w:val="1260"/>
          <w:marRight w:val="0"/>
          <w:marTop w:val="0"/>
          <w:marBottom w:val="90"/>
          <w:divBdr>
            <w:top w:val="none" w:sz="0" w:space="0" w:color="auto"/>
            <w:left w:val="none" w:sz="0" w:space="0" w:color="auto"/>
            <w:bottom w:val="none" w:sz="0" w:space="0" w:color="auto"/>
            <w:right w:val="none" w:sz="0" w:space="0" w:color="auto"/>
          </w:divBdr>
        </w:div>
        <w:div w:id="197351671">
          <w:marLeft w:val="900"/>
          <w:marRight w:val="0"/>
          <w:marTop w:val="0"/>
          <w:marBottom w:val="90"/>
          <w:divBdr>
            <w:top w:val="none" w:sz="0" w:space="0" w:color="auto"/>
            <w:left w:val="none" w:sz="0" w:space="0" w:color="auto"/>
            <w:bottom w:val="none" w:sz="0" w:space="0" w:color="auto"/>
            <w:right w:val="none" w:sz="0" w:space="0" w:color="auto"/>
          </w:divBdr>
        </w:div>
        <w:div w:id="405346721">
          <w:marLeft w:val="900"/>
          <w:marRight w:val="0"/>
          <w:marTop w:val="0"/>
          <w:marBottom w:val="90"/>
          <w:divBdr>
            <w:top w:val="none" w:sz="0" w:space="0" w:color="auto"/>
            <w:left w:val="none" w:sz="0" w:space="0" w:color="auto"/>
            <w:bottom w:val="none" w:sz="0" w:space="0" w:color="auto"/>
            <w:right w:val="none" w:sz="0" w:space="0" w:color="auto"/>
          </w:divBdr>
        </w:div>
        <w:div w:id="1155606666">
          <w:marLeft w:val="900"/>
          <w:marRight w:val="0"/>
          <w:marTop w:val="0"/>
          <w:marBottom w:val="90"/>
          <w:divBdr>
            <w:top w:val="none" w:sz="0" w:space="0" w:color="auto"/>
            <w:left w:val="none" w:sz="0" w:space="0" w:color="auto"/>
            <w:bottom w:val="none" w:sz="0" w:space="0" w:color="auto"/>
            <w:right w:val="none" w:sz="0" w:space="0" w:color="auto"/>
          </w:divBdr>
        </w:div>
        <w:div w:id="1243220992">
          <w:marLeft w:val="900"/>
          <w:marRight w:val="0"/>
          <w:marTop w:val="0"/>
          <w:marBottom w:val="90"/>
          <w:divBdr>
            <w:top w:val="none" w:sz="0" w:space="0" w:color="auto"/>
            <w:left w:val="none" w:sz="0" w:space="0" w:color="auto"/>
            <w:bottom w:val="none" w:sz="0" w:space="0" w:color="auto"/>
            <w:right w:val="none" w:sz="0" w:space="0" w:color="auto"/>
          </w:divBdr>
        </w:div>
        <w:div w:id="1579055822">
          <w:marLeft w:val="1260"/>
          <w:marRight w:val="0"/>
          <w:marTop w:val="0"/>
          <w:marBottom w:val="90"/>
          <w:divBdr>
            <w:top w:val="none" w:sz="0" w:space="0" w:color="auto"/>
            <w:left w:val="none" w:sz="0" w:space="0" w:color="auto"/>
            <w:bottom w:val="none" w:sz="0" w:space="0" w:color="auto"/>
            <w:right w:val="none" w:sz="0" w:space="0" w:color="auto"/>
          </w:divBdr>
        </w:div>
        <w:div w:id="1349062893">
          <w:marLeft w:val="1620"/>
          <w:marRight w:val="0"/>
          <w:marTop w:val="0"/>
          <w:marBottom w:val="90"/>
          <w:divBdr>
            <w:top w:val="none" w:sz="0" w:space="0" w:color="auto"/>
            <w:left w:val="none" w:sz="0" w:space="0" w:color="auto"/>
            <w:bottom w:val="none" w:sz="0" w:space="0" w:color="auto"/>
            <w:right w:val="none" w:sz="0" w:space="0" w:color="auto"/>
          </w:divBdr>
        </w:div>
        <w:div w:id="1805418420">
          <w:marLeft w:val="1620"/>
          <w:marRight w:val="0"/>
          <w:marTop w:val="0"/>
          <w:marBottom w:val="90"/>
          <w:divBdr>
            <w:top w:val="none" w:sz="0" w:space="0" w:color="auto"/>
            <w:left w:val="none" w:sz="0" w:space="0" w:color="auto"/>
            <w:bottom w:val="none" w:sz="0" w:space="0" w:color="auto"/>
            <w:right w:val="none" w:sz="0" w:space="0" w:color="auto"/>
          </w:divBdr>
        </w:div>
        <w:div w:id="1139804173">
          <w:marLeft w:val="1620"/>
          <w:marRight w:val="0"/>
          <w:marTop w:val="0"/>
          <w:marBottom w:val="90"/>
          <w:divBdr>
            <w:top w:val="none" w:sz="0" w:space="0" w:color="auto"/>
            <w:left w:val="none" w:sz="0" w:space="0" w:color="auto"/>
            <w:bottom w:val="none" w:sz="0" w:space="0" w:color="auto"/>
            <w:right w:val="none" w:sz="0" w:space="0" w:color="auto"/>
          </w:divBdr>
        </w:div>
        <w:div w:id="1987320750">
          <w:marLeft w:val="1620"/>
          <w:marRight w:val="0"/>
          <w:marTop w:val="0"/>
          <w:marBottom w:val="90"/>
          <w:divBdr>
            <w:top w:val="none" w:sz="0" w:space="0" w:color="auto"/>
            <w:left w:val="none" w:sz="0" w:space="0" w:color="auto"/>
            <w:bottom w:val="none" w:sz="0" w:space="0" w:color="auto"/>
            <w:right w:val="none" w:sz="0" w:space="0" w:color="auto"/>
          </w:divBdr>
        </w:div>
        <w:div w:id="1949191326">
          <w:marLeft w:val="1620"/>
          <w:marRight w:val="0"/>
          <w:marTop w:val="0"/>
          <w:marBottom w:val="90"/>
          <w:divBdr>
            <w:top w:val="none" w:sz="0" w:space="0" w:color="auto"/>
            <w:left w:val="none" w:sz="0" w:space="0" w:color="auto"/>
            <w:bottom w:val="none" w:sz="0" w:space="0" w:color="auto"/>
            <w:right w:val="none" w:sz="0" w:space="0" w:color="auto"/>
          </w:divBdr>
        </w:div>
        <w:div w:id="1501046528">
          <w:marLeft w:val="1260"/>
          <w:marRight w:val="0"/>
          <w:marTop w:val="0"/>
          <w:marBottom w:val="90"/>
          <w:divBdr>
            <w:top w:val="none" w:sz="0" w:space="0" w:color="auto"/>
            <w:left w:val="none" w:sz="0" w:space="0" w:color="auto"/>
            <w:bottom w:val="none" w:sz="0" w:space="0" w:color="auto"/>
            <w:right w:val="none" w:sz="0" w:space="0" w:color="auto"/>
          </w:divBdr>
        </w:div>
        <w:div w:id="1313751723">
          <w:marLeft w:val="1620"/>
          <w:marRight w:val="0"/>
          <w:marTop w:val="0"/>
          <w:marBottom w:val="90"/>
          <w:divBdr>
            <w:top w:val="none" w:sz="0" w:space="0" w:color="auto"/>
            <w:left w:val="none" w:sz="0" w:space="0" w:color="auto"/>
            <w:bottom w:val="none" w:sz="0" w:space="0" w:color="auto"/>
            <w:right w:val="none" w:sz="0" w:space="0" w:color="auto"/>
          </w:divBdr>
        </w:div>
        <w:div w:id="1109163496">
          <w:marLeft w:val="1620"/>
          <w:marRight w:val="0"/>
          <w:marTop w:val="0"/>
          <w:marBottom w:val="90"/>
          <w:divBdr>
            <w:top w:val="none" w:sz="0" w:space="0" w:color="auto"/>
            <w:left w:val="none" w:sz="0" w:space="0" w:color="auto"/>
            <w:bottom w:val="none" w:sz="0" w:space="0" w:color="auto"/>
            <w:right w:val="none" w:sz="0" w:space="0" w:color="auto"/>
          </w:divBdr>
        </w:div>
        <w:div w:id="1635713691">
          <w:marLeft w:val="1620"/>
          <w:marRight w:val="0"/>
          <w:marTop w:val="0"/>
          <w:marBottom w:val="90"/>
          <w:divBdr>
            <w:top w:val="none" w:sz="0" w:space="0" w:color="auto"/>
            <w:left w:val="none" w:sz="0" w:space="0" w:color="auto"/>
            <w:bottom w:val="none" w:sz="0" w:space="0" w:color="auto"/>
            <w:right w:val="none" w:sz="0" w:space="0" w:color="auto"/>
          </w:divBdr>
        </w:div>
        <w:div w:id="227376365">
          <w:marLeft w:val="1620"/>
          <w:marRight w:val="0"/>
          <w:marTop w:val="0"/>
          <w:marBottom w:val="90"/>
          <w:divBdr>
            <w:top w:val="none" w:sz="0" w:space="0" w:color="auto"/>
            <w:left w:val="none" w:sz="0" w:space="0" w:color="auto"/>
            <w:bottom w:val="none" w:sz="0" w:space="0" w:color="auto"/>
            <w:right w:val="none" w:sz="0" w:space="0" w:color="auto"/>
          </w:divBdr>
        </w:div>
        <w:div w:id="903684233">
          <w:marLeft w:val="1620"/>
          <w:marRight w:val="0"/>
          <w:marTop w:val="0"/>
          <w:marBottom w:val="90"/>
          <w:divBdr>
            <w:top w:val="none" w:sz="0" w:space="0" w:color="auto"/>
            <w:left w:val="none" w:sz="0" w:space="0" w:color="auto"/>
            <w:bottom w:val="none" w:sz="0" w:space="0" w:color="auto"/>
            <w:right w:val="none" w:sz="0" w:space="0" w:color="auto"/>
          </w:divBdr>
        </w:div>
        <w:div w:id="953294178">
          <w:marLeft w:val="900"/>
          <w:marRight w:val="0"/>
          <w:marTop w:val="0"/>
          <w:marBottom w:val="90"/>
          <w:divBdr>
            <w:top w:val="none" w:sz="0" w:space="0" w:color="auto"/>
            <w:left w:val="none" w:sz="0" w:space="0" w:color="auto"/>
            <w:bottom w:val="none" w:sz="0" w:space="0" w:color="auto"/>
            <w:right w:val="none" w:sz="0" w:space="0" w:color="auto"/>
          </w:divBdr>
        </w:div>
        <w:div w:id="942953931">
          <w:marLeft w:val="0"/>
          <w:marRight w:val="0"/>
          <w:marTop w:val="0"/>
          <w:marBottom w:val="101"/>
          <w:divBdr>
            <w:top w:val="none" w:sz="0" w:space="0" w:color="auto"/>
            <w:left w:val="none" w:sz="0" w:space="0" w:color="auto"/>
            <w:bottom w:val="none" w:sz="0" w:space="0" w:color="auto"/>
            <w:right w:val="none" w:sz="0" w:space="0" w:color="auto"/>
          </w:divBdr>
        </w:div>
        <w:div w:id="1891843753">
          <w:marLeft w:val="0"/>
          <w:marRight w:val="0"/>
          <w:marTop w:val="0"/>
          <w:marBottom w:val="101"/>
          <w:divBdr>
            <w:top w:val="none" w:sz="0" w:space="0" w:color="auto"/>
            <w:left w:val="none" w:sz="0" w:space="0" w:color="auto"/>
            <w:bottom w:val="none" w:sz="0" w:space="0" w:color="auto"/>
            <w:right w:val="none" w:sz="0" w:space="0" w:color="auto"/>
          </w:divBdr>
        </w:div>
        <w:div w:id="1750542445">
          <w:marLeft w:val="0"/>
          <w:marRight w:val="0"/>
          <w:marTop w:val="0"/>
          <w:marBottom w:val="101"/>
          <w:divBdr>
            <w:top w:val="none" w:sz="0" w:space="0" w:color="auto"/>
            <w:left w:val="none" w:sz="0" w:space="0" w:color="auto"/>
            <w:bottom w:val="single" w:sz="6" w:space="0" w:color="000000"/>
            <w:right w:val="none" w:sz="0" w:space="0" w:color="auto"/>
          </w:divBdr>
        </w:div>
        <w:div w:id="58946080">
          <w:marLeft w:val="900"/>
          <w:marRight w:val="0"/>
          <w:marTop w:val="0"/>
          <w:marBottom w:val="101"/>
          <w:divBdr>
            <w:top w:val="none" w:sz="0" w:space="0" w:color="auto"/>
            <w:left w:val="none" w:sz="0" w:space="0" w:color="auto"/>
            <w:bottom w:val="none" w:sz="0" w:space="0" w:color="auto"/>
            <w:right w:val="none" w:sz="0" w:space="0" w:color="auto"/>
          </w:divBdr>
        </w:div>
        <w:div w:id="1674214470">
          <w:marLeft w:val="900"/>
          <w:marRight w:val="0"/>
          <w:marTop w:val="0"/>
          <w:marBottom w:val="101"/>
          <w:divBdr>
            <w:top w:val="none" w:sz="0" w:space="0" w:color="auto"/>
            <w:left w:val="none" w:sz="0" w:space="0" w:color="auto"/>
            <w:bottom w:val="none" w:sz="0" w:space="0" w:color="auto"/>
            <w:right w:val="none" w:sz="0" w:space="0" w:color="auto"/>
          </w:divBdr>
        </w:div>
        <w:div w:id="1037123737">
          <w:marLeft w:val="900"/>
          <w:marRight w:val="0"/>
          <w:marTop w:val="0"/>
          <w:marBottom w:val="101"/>
          <w:divBdr>
            <w:top w:val="none" w:sz="0" w:space="0" w:color="auto"/>
            <w:left w:val="none" w:sz="0" w:space="0" w:color="auto"/>
            <w:bottom w:val="none" w:sz="0" w:space="0" w:color="auto"/>
            <w:right w:val="none" w:sz="0" w:space="0" w:color="auto"/>
          </w:divBdr>
        </w:div>
        <w:div w:id="1228344844">
          <w:marLeft w:val="900"/>
          <w:marRight w:val="0"/>
          <w:marTop w:val="0"/>
          <w:marBottom w:val="101"/>
          <w:divBdr>
            <w:top w:val="none" w:sz="0" w:space="0" w:color="auto"/>
            <w:left w:val="none" w:sz="0" w:space="0" w:color="auto"/>
            <w:bottom w:val="none" w:sz="0" w:space="0" w:color="auto"/>
            <w:right w:val="none" w:sz="0" w:space="0" w:color="auto"/>
          </w:divBdr>
        </w:div>
        <w:div w:id="2042395003">
          <w:marLeft w:val="900"/>
          <w:marRight w:val="0"/>
          <w:marTop w:val="0"/>
          <w:marBottom w:val="101"/>
          <w:divBdr>
            <w:top w:val="none" w:sz="0" w:space="0" w:color="auto"/>
            <w:left w:val="none" w:sz="0" w:space="0" w:color="auto"/>
            <w:bottom w:val="none" w:sz="0" w:space="0" w:color="auto"/>
            <w:right w:val="none" w:sz="0" w:space="0" w:color="auto"/>
          </w:divBdr>
        </w:div>
        <w:div w:id="235554718">
          <w:marLeft w:val="900"/>
          <w:marRight w:val="0"/>
          <w:marTop w:val="0"/>
          <w:marBottom w:val="101"/>
          <w:divBdr>
            <w:top w:val="none" w:sz="0" w:space="0" w:color="auto"/>
            <w:left w:val="none" w:sz="0" w:space="0" w:color="auto"/>
            <w:bottom w:val="none" w:sz="0" w:space="0" w:color="auto"/>
            <w:right w:val="none" w:sz="0" w:space="0" w:color="auto"/>
          </w:divBdr>
        </w:div>
        <w:div w:id="411047758">
          <w:marLeft w:val="900"/>
          <w:marRight w:val="0"/>
          <w:marTop w:val="0"/>
          <w:marBottom w:val="101"/>
          <w:divBdr>
            <w:top w:val="none" w:sz="0" w:space="0" w:color="auto"/>
            <w:left w:val="none" w:sz="0" w:space="0" w:color="auto"/>
            <w:bottom w:val="none" w:sz="0" w:space="0" w:color="auto"/>
            <w:right w:val="none" w:sz="0" w:space="0" w:color="auto"/>
          </w:divBdr>
        </w:div>
        <w:div w:id="674380950">
          <w:marLeft w:val="900"/>
          <w:marRight w:val="0"/>
          <w:marTop w:val="0"/>
          <w:marBottom w:val="101"/>
          <w:divBdr>
            <w:top w:val="none" w:sz="0" w:space="0" w:color="auto"/>
            <w:left w:val="none" w:sz="0" w:space="0" w:color="auto"/>
            <w:bottom w:val="none" w:sz="0" w:space="0" w:color="auto"/>
            <w:right w:val="none" w:sz="0" w:space="0" w:color="auto"/>
          </w:divBdr>
        </w:div>
        <w:div w:id="1714038864">
          <w:marLeft w:val="900"/>
          <w:marRight w:val="0"/>
          <w:marTop w:val="0"/>
          <w:marBottom w:val="101"/>
          <w:divBdr>
            <w:top w:val="none" w:sz="0" w:space="0" w:color="auto"/>
            <w:left w:val="none" w:sz="0" w:space="0" w:color="auto"/>
            <w:bottom w:val="none" w:sz="0" w:space="0" w:color="auto"/>
            <w:right w:val="none" w:sz="0" w:space="0" w:color="auto"/>
          </w:divBdr>
        </w:div>
        <w:div w:id="568156379">
          <w:marLeft w:val="900"/>
          <w:marRight w:val="0"/>
          <w:marTop w:val="0"/>
          <w:marBottom w:val="101"/>
          <w:divBdr>
            <w:top w:val="none" w:sz="0" w:space="0" w:color="auto"/>
            <w:left w:val="none" w:sz="0" w:space="0" w:color="auto"/>
            <w:bottom w:val="none" w:sz="0" w:space="0" w:color="auto"/>
            <w:right w:val="none" w:sz="0" w:space="0" w:color="auto"/>
          </w:divBdr>
        </w:div>
        <w:div w:id="1175222736">
          <w:marLeft w:val="900"/>
          <w:marRight w:val="0"/>
          <w:marTop w:val="0"/>
          <w:marBottom w:val="101"/>
          <w:divBdr>
            <w:top w:val="none" w:sz="0" w:space="0" w:color="auto"/>
            <w:left w:val="none" w:sz="0" w:space="0" w:color="auto"/>
            <w:bottom w:val="none" w:sz="0" w:space="0" w:color="auto"/>
            <w:right w:val="none" w:sz="0" w:space="0" w:color="auto"/>
          </w:divBdr>
        </w:div>
        <w:div w:id="1497066771">
          <w:marLeft w:val="900"/>
          <w:marRight w:val="0"/>
          <w:marTop w:val="0"/>
          <w:marBottom w:val="101"/>
          <w:divBdr>
            <w:top w:val="none" w:sz="0" w:space="0" w:color="auto"/>
            <w:left w:val="none" w:sz="0" w:space="0" w:color="auto"/>
            <w:bottom w:val="none" w:sz="0" w:space="0" w:color="auto"/>
            <w:right w:val="none" w:sz="0" w:space="0" w:color="auto"/>
          </w:divBdr>
        </w:div>
        <w:div w:id="410470548">
          <w:marLeft w:val="1260"/>
          <w:marRight w:val="0"/>
          <w:marTop w:val="0"/>
          <w:marBottom w:val="101"/>
          <w:divBdr>
            <w:top w:val="none" w:sz="0" w:space="0" w:color="auto"/>
            <w:left w:val="none" w:sz="0" w:space="0" w:color="auto"/>
            <w:bottom w:val="none" w:sz="0" w:space="0" w:color="auto"/>
            <w:right w:val="none" w:sz="0" w:space="0" w:color="auto"/>
          </w:divBdr>
        </w:div>
        <w:div w:id="2071071198">
          <w:marLeft w:val="1260"/>
          <w:marRight w:val="0"/>
          <w:marTop w:val="0"/>
          <w:marBottom w:val="101"/>
          <w:divBdr>
            <w:top w:val="none" w:sz="0" w:space="0" w:color="auto"/>
            <w:left w:val="none" w:sz="0" w:space="0" w:color="auto"/>
            <w:bottom w:val="none" w:sz="0" w:space="0" w:color="auto"/>
            <w:right w:val="none" w:sz="0" w:space="0" w:color="auto"/>
          </w:divBdr>
        </w:div>
        <w:div w:id="227612506">
          <w:marLeft w:val="1620"/>
          <w:marRight w:val="0"/>
          <w:marTop w:val="0"/>
          <w:marBottom w:val="101"/>
          <w:divBdr>
            <w:top w:val="none" w:sz="0" w:space="0" w:color="auto"/>
            <w:left w:val="none" w:sz="0" w:space="0" w:color="auto"/>
            <w:bottom w:val="none" w:sz="0" w:space="0" w:color="auto"/>
            <w:right w:val="none" w:sz="0" w:space="0" w:color="auto"/>
          </w:divBdr>
        </w:div>
        <w:div w:id="1486895585">
          <w:marLeft w:val="1620"/>
          <w:marRight w:val="0"/>
          <w:marTop w:val="0"/>
          <w:marBottom w:val="101"/>
          <w:divBdr>
            <w:top w:val="none" w:sz="0" w:space="0" w:color="auto"/>
            <w:left w:val="none" w:sz="0" w:space="0" w:color="auto"/>
            <w:bottom w:val="none" w:sz="0" w:space="0" w:color="auto"/>
            <w:right w:val="none" w:sz="0" w:space="0" w:color="auto"/>
          </w:divBdr>
        </w:div>
        <w:div w:id="22755168">
          <w:marLeft w:val="1620"/>
          <w:marRight w:val="0"/>
          <w:marTop w:val="0"/>
          <w:marBottom w:val="101"/>
          <w:divBdr>
            <w:top w:val="none" w:sz="0" w:space="0" w:color="auto"/>
            <w:left w:val="none" w:sz="0" w:space="0" w:color="auto"/>
            <w:bottom w:val="none" w:sz="0" w:space="0" w:color="auto"/>
            <w:right w:val="none" w:sz="0" w:space="0" w:color="auto"/>
          </w:divBdr>
        </w:div>
        <w:div w:id="77872101">
          <w:marLeft w:val="1260"/>
          <w:marRight w:val="0"/>
          <w:marTop w:val="0"/>
          <w:marBottom w:val="101"/>
          <w:divBdr>
            <w:top w:val="none" w:sz="0" w:space="0" w:color="auto"/>
            <w:left w:val="none" w:sz="0" w:space="0" w:color="auto"/>
            <w:bottom w:val="none" w:sz="0" w:space="0" w:color="auto"/>
            <w:right w:val="none" w:sz="0" w:space="0" w:color="auto"/>
          </w:divBdr>
        </w:div>
        <w:div w:id="1698694856">
          <w:marLeft w:val="900"/>
          <w:marRight w:val="0"/>
          <w:marTop w:val="0"/>
          <w:marBottom w:val="101"/>
          <w:divBdr>
            <w:top w:val="none" w:sz="0" w:space="0" w:color="auto"/>
            <w:left w:val="none" w:sz="0" w:space="0" w:color="auto"/>
            <w:bottom w:val="none" w:sz="0" w:space="0" w:color="auto"/>
            <w:right w:val="none" w:sz="0" w:space="0" w:color="auto"/>
          </w:divBdr>
        </w:div>
        <w:div w:id="549927078">
          <w:marLeft w:val="900"/>
          <w:marRight w:val="0"/>
          <w:marTop w:val="0"/>
          <w:marBottom w:val="101"/>
          <w:divBdr>
            <w:top w:val="none" w:sz="0" w:space="0" w:color="auto"/>
            <w:left w:val="none" w:sz="0" w:space="0" w:color="auto"/>
            <w:bottom w:val="none" w:sz="0" w:space="0" w:color="auto"/>
            <w:right w:val="none" w:sz="0" w:space="0" w:color="auto"/>
          </w:divBdr>
        </w:div>
        <w:div w:id="1192569251">
          <w:marLeft w:val="900"/>
          <w:marRight w:val="0"/>
          <w:marTop w:val="0"/>
          <w:marBottom w:val="101"/>
          <w:divBdr>
            <w:top w:val="none" w:sz="0" w:space="0" w:color="auto"/>
            <w:left w:val="none" w:sz="0" w:space="0" w:color="auto"/>
            <w:bottom w:val="none" w:sz="0" w:space="0" w:color="auto"/>
            <w:right w:val="none" w:sz="0" w:space="0" w:color="auto"/>
          </w:divBdr>
        </w:div>
        <w:div w:id="1812096854">
          <w:marLeft w:val="900"/>
          <w:marRight w:val="0"/>
          <w:marTop w:val="0"/>
          <w:marBottom w:val="101"/>
          <w:divBdr>
            <w:top w:val="none" w:sz="0" w:space="0" w:color="auto"/>
            <w:left w:val="none" w:sz="0" w:space="0" w:color="auto"/>
            <w:bottom w:val="none" w:sz="0" w:space="0" w:color="auto"/>
            <w:right w:val="none" w:sz="0" w:space="0" w:color="auto"/>
          </w:divBdr>
        </w:div>
        <w:div w:id="81611622">
          <w:marLeft w:val="900"/>
          <w:marRight w:val="0"/>
          <w:marTop w:val="0"/>
          <w:marBottom w:val="101"/>
          <w:divBdr>
            <w:top w:val="none" w:sz="0" w:space="0" w:color="auto"/>
            <w:left w:val="none" w:sz="0" w:space="0" w:color="auto"/>
            <w:bottom w:val="none" w:sz="0" w:space="0" w:color="auto"/>
            <w:right w:val="none" w:sz="0" w:space="0" w:color="auto"/>
          </w:divBdr>
        </w:div>
        <w:div w:id="708260934">
          <w:marLeft w:val="900"/>
          <w:marRight w:val="0"/>
          <w:marTop w:val="0"/>
          <w:marBottom w:val="101"/>
          <w:divBdr>
            <w:top w:val="none" w:sz="0" w:space="0" w:color="auto"/>
            <w:left w:val="none" w:sz="0" w:space="0" w:color="auto"/>
            <w:bottom w:val="none" w:sz="0" w:space="0" w:color="auto"/>
            <w:right w:val="none" w:sz="0" w:space="0" w:color="auto"/>
          </w:divBdr>
        </w:div>
        <w:div w:id="2034113989">
          <w:marLeft w:val="1350"/>
          <w:marRight w:val="0"/>
          <w:marTop w:val="0"/>
          <w:marBottom w:val="101"/>
          <w:divBdr>
            <w:top w:val="none" w:sz="0" w:space="0" w:color="auto"/>
            <w:left w:val="none" w:sz="0" w:space="0" w:color="auto"/>
            <w:bottom w:val="none" w:sz="0" w:space="0" w:color="auto"/>
            <w:right w:val="none" w:sz="0" w:space="0" w:color="auto"/>
          </w:divBdr>
        </w:div>
        <w:div w:id="659433252">
          <w:marLeft w:val="1350"/>
          <w:marRight w:val="0"/>
          <w:marTop w:val="0"/>
          <w:marBottom w:val="101"/>
          <w:divBdr>
            <w:top w:val="none" w:sz="0" w:space="0" w:color="auto"/>
            <w:left w:val="none" w:sz="0" w:space="0" w:color="auto"/>
            <w:bottom w:val="none" w:sz="0" w:space="0" w:color="auto"/>
            <w:right w:val="none" w:sz="0" w:space="0" w:color="auto"/>
          </w:divBdr>
        </w:div>
        <w:div w:id="857813006">
          <w:marLeft w:val="1260"/>
          <w:marRight w:val="0"/>
          <w:marTop w:val="0"/>
          <w:marBottom w:val="101"/>
          <w:divBdr>
            <w:top w:val="none" w:sz="0" w:space="0" w:color="auto"/>
            <w:left w:val="none" w:sz="0" w:space="0" w:color="auto"/>
            <w:bottom w:val="none" w:sz="0" w:space="0" w:color="auto"/>
            <w:right w:val="none" w:sz="0" w:space="0" w:color="auto"/>
          </w:divBdr>
        </w:div>
        <w:div w:id="776173058">
          <w:marLeft w:val="900"/>
          <w:marRight w:val="0"/>
          <w:marTop w:val="0"/>
          <w:marBottom w:val="101"/>
          <w:divBdr>
            <w:top w:val="none" w:sz="0" w:space="0" w:color="auto"/>
            <w:left w:val="none" w:sz="0" w:space="0" w:color="auto"/>
            <w:bottom w:val="none" w:sz="0" w:space="0" w:color="auto"/>
            <w:right w:val="none" w:sz="0" w:space="0" w:color="auto"/>
          </w:divBdr>
        </w:div>
        <w:div w:id="1257792371">
          <w:marLeft w:val="900"/>
          <w:marRight w:val="0"/>
          <w:marTop w:val="0"/>
          <w:marBottom w:val="101"/>
          <w:divBdr>
            <w:top w:val="none" w:sz="0" w:space="0" w:color="auto"/>
            <w:left w:val="none" w:sz="0" w:space="0" w:color="auto"/>
            <w:bottom w:val="none" w:sz="0" w:space="0" w:color="auto"/>
            <w:right w:val="none" w:sz="0" w:space="0" w:color="auto"/>
          </w:divBdr>
        </w:div>
        <w:div w:id="1500191855">
          <w:marLeft w:val="1260"/>
          <w:marRight w:val="0"/>
          <w:marTop w:val="0"/>
          <w:marBottom w:val="101"/>
          <w:divBdr>
            <w:top w:val="none" w:sz="0" w:space="0" w:color="auto"/>
            <w:left w:val="none" w:sz="0" w:space="0" w:color="auto"/>
            <w:bottom w:val="none" w:sz="0" w:space="0" w:color="auto"/>
            <w:right w:val="none" w:sz="0" w:space="0" w:color="auto"/>
          </w:divBdr>
        </w:div>
        <w:div w:id="1357346466">
          <w:marLeft w:val="1260"/>
          <w:marRight w:val="0"/>
          <w:marTop w:val="0"/>
          <w:marBottom w:val="101"/>
          <w:divBdr>
            <w:top w:val="none" w:sz="0" w:space="0" w:color="auto"/>
            <w:left w:val="none" w:sz="0" w:space="0" w:color="auto"/>
            <w:bottom w:val="none" w:sz="0" w:space="0" w:color="auto"/>
            <w:right w:val="none" w:sz="0" w:space="0" w:color="auto"/>
          </w:divBdr>
        </w:div>
        <w:div w:id="1100446590">
          <w:marLeft w:val="1260"/>
          <w:marRight w:val="0"/>
          <w:marTop w:val="0"/>
          <w:marBottom w:val="101"/>
          <w:divBdr>
            <w:top w:val="none" w:sz="0" w:space="0" w:color="auto"/>
            <w:left w:val="none" w:sz="0" w:space="0" w:color="auto"/>
            <w:bottom w:val="none" w:sz="0" w:space="0" w:color="auto"/>
            <w:right w:val="none" w:sz="0" w:space="0" w:color="auto"/>
          </w:divBdr>
        </w:div>
        <w:div w:id="929434224">
          <w:marLeft w:val="900"/>
          <w:marRight w:val="0"/>
          <w:marTop w:val="0"/>
          <w:marBottom w:val="101"/>
          <w:divBdr>
            <w:top w:val="none" w:sz="0" w:space="0" w:color="auto"/>
            <w:left w:val="none" w:sz="0" w:space="0" w:color="auto"/>
            <w:bottom w:val="none" w:sz="0" w:space="0" w:color="auto"/>
            <w:right w:val="none" w:sz="0" w:space="0" w:color="auto"/>
          </w:divBdr>
        </w:div>
        <w:div w:id="1706248402">
          <w:marLeft w:val="900"/>
          <w:marRight w:val="0"/>
          <w:marTop w:val="0"/>
          <w:marBottom w:val="101"/>
          <w:divBdr>
            <w:top w:val="none" w:sz="0" w:space="0" w:color="auto"/>
            <w:left w:val="none" w:sz="0" w:space="0" w:color="auto"/>
            <w:bottom w:val="none" w:sz="0" w:space="0" w:color="auto"/>
            <w:right w:val="none" w:sz="0" w:space="0" w:color="auto"/>
          </w:divBdr>
        </w:div>
        <w:div w:id="1300186329">
          <w:marLeft w:val="900"/>
          <w:marRight w:val="0"/>
          <w:marTop w:val="0"/>
          <w:marBottom w:val="101"/>
          <w:divBdr>
            <w:top w:val="none" w:sz="0" w:space="0" w:color="auto"/>
            <w:left w:val="none" w:sz="0" w:space="0" w:color="auto"/>
            <w:bottom w:val="none" w:sz="0" w:space="0" w:color="auto"/>
            <w:right w:val="none" w:sz="0" w:space="0" w:color="auto"/>
          </w:divBdr>
        </w:div>
        <w:div w:id="1556774740">
          <w:marLeft w:val="0"/>
          <w:marRight w:val="0"/>
          <w:marTop w:val="20"/>
          <w:marBottom w:val="101"/>
          <w:divBdr>
            <w:top w:val="none" w:sz="0" w:space="0" w:color="auto"/>
            <w:left w:val="none" w:sz="0" w:space="0" w:color="auto"/>
            <w:bottom w:val="none" w:sz="0" w:space="0" w:color="auto"/>
            <w:right w:val="none" w:sz="0" w:space="0" w:color="auto"/>
          </w:divBdr>
        </w:div>
        <w:div w:id="1855532189">
          <w:marLeft w:val="0"/>
          <w:marRight w:val="0"/>
          <w:marTop w:val="20"/>
          <w:marBottom w:val="101"/>
          <w:divBdr>
            <w:top w:val="none" w:sz="0" w:space="0" w:color="auto"/>
            <w:left w:val="none" w:sz="0" w:space="0" w:color="auto"/>
            <w:bottom w:val="none" w:sz="0" w:space="0" w:color="auto"/>
            <w:right w:val="none" w:sz="0" w:space="0" w:color="auto"/>
          </w:divBdr>
        </w:div>
        <w:div w:id="431630168">
          <w:marLeft w:val="0"/>
          <w:marRight w:val="0"/>
          <w:marTop w:val="20"/>
          <w:marBottom w:val="101"/>
          <w:divBdr>
            <w:top w:val="none" w:sz="0" w:space="0" w:color="auto"/>
            <w:left w:val="none" w:sz="0" w:space="0" w:color="auto"/>
            <w:bottom w:val="none" w:sz="0" w:space="0" w:color="auto"/>
            <w:right w:val="none" w:sz="0" w:space="0" w:color="auto"/>
          </w:divBdr>
        </w:div>
        <w:div w:id="1823160310">
          <w:marLeft w:val="0"/>
          <w:marRight w:val="0"/>
          <w:marTop w:val="20"/>
          <w:marBottom w:val="101"/>
          <w:divBdr>
            <w:top w:val="none" w:sz="0" w:space="0" w:color="auto"/>
            <w:left w:val="none" w:sz="0" w:space="0" w:color="auto"/>
            <w:bottom w:val="none" w:sz="0" w:space="0" w:color="auto"/>
            <w:right w:val="none" w:sz="0" w:space="0" w:color="auto"/>
          </w:divBdr>
        </w:div>
        <w:div w:id="1602183351">
          <w:marLeft w:val="0"/>
          <w:marRight w:val="0"/>
          <w:marTop w:val="20"/>
          <w:marBottom w:val="101"/>
          <w:divBdr>
            <w:top w:val="none" w:sz="0" w:space="0" w:color="auto"/>
            <w:left w:val="none" w:sz="0" w:space="0" w:color="auto"/>
            <w:bottom w:val="none" w:sz="0" w:space="0" w:color="auto"/>
            <w:right w:val="none" w:sz="0" w:space="0" w:color="auto"/>
          </w:divBdr>
        </w:div>
        <w:div w:id="1772816537">
          <w:marLeft w:val="0"/>
          <w:marRight w:val="0"/>
          <w:marTop w:val="20"/>
          <w:marBottom w:val="101"/>
          <w:divBdr>
            <w:top w:val="none" w:sz="0" w:space="0" w:color="auto"/>
            <w:left w:val="none" w:sz="0" w:space="0" w:color="auto"/>
            <w:bottom w:val="none" w:sz="0" w:space="0" w:color="auto"/>
            <w:right w:val="none" w:sz="0" w:space="0" w:color="auto"/>
          </w:divBdr>
        </w:div>
        <w:div w:id="1841117258">
          <w:marLeft w:val="0"/>
          <w:marRight w:val="0"/>
          <w:marTop w:val="20"/>
          <w:marBottom w:val="101"/>
          <w:divBdr>
            <w:top w:val="none" w:sz="0" w:space="0" w:color="auto"/>
            <w:left w:val="none" w:sz="0" w:space="0" w:color="auto"/>
            <w:bottom w:val="none" w:sz="0" w:space="0" w:color="auto"/>
            <w:right w:val="none" w:sz="0" w:space="0" w:color="auto"/>
          </w:divBdr>
        </w:div>
        <w:div w:id="388572895">
          <w:marLeft w:val="0"/>
          <w:marRight w:val="0"/>
          <w:marTop w:val="20"/>
          <w:marBottom w:val="101"/>
          <w:divBdr>
            <w:top w:val="none" w:sz="0" w:space="0" w:color="auto"/>
            <w:left w:val="none" w:sz="0" w:space="0" w:color="auto"/>
            <w:bottom w:val="none" w:sz="0" w:space="0" w:color="auto"/>
            <w:right w:val="none" w:sz="0" w:space="0" w:color="auto"/>
          </w:divBdr>
        </w:div>
        <w:div w:id="376396680">
          <w:marLeft w:val="0"/>
          <w:marRight w:val="0"/>
          <w:marTop w:val="0"/>
          <w:marBottom w:val="101"/>
          <w:divBdr>
            <w:top w:val="none" w:sz="0" w:space="0" w:color="auto"/>
            <w:left w:val="none" w:sz="0" w:space="0" w:color="auto"/>
            <w:bottom w:val="none" w:sz="0" w:space="0" w:color="auto"/>
            <w:right w:val="none" w:sz="0" w:space="0" w:color="auto"/>
          </w:divBdr>
        </w:div>
        <w:div w:id="626543745">
          <w:marLeft w:val="900"/>
          <w:marRight w:val="0"/>
          <w:marTop w:val="0"/>
          <w:marBottom w:val="101"/>
          <w:divBdr>
            <w:top w:val="none" w:sz="0" w:space="0" w:color="auto"/>
            <w:left w:val="none" w:sz="0" w:space="0" w:color="auto"/>
            <w:bottom w:val="none" w:sz="0" w:space="0" w:color="auto"/>
            <w:right w:val="none" w:sz="0" w:space="0" w:color="auto"/>
          </w:divBdr>
        </w:div>
        <w:div w:id="328754129">
          <w:marLeft w:val="0"/>
          <w:marRight w:val="0"/>
          <w:marTop w:val="20"/>
          <w:marBottom w:val="101"/>
          <w:divBdr>
            <w:top w:val="none" w:sz="0" w:space="0" w:color="auto"/>
            <w:left w:val="none" w:sz="0" w:space="0" w:color="auto"/>
            <w:bottom w:val="none" w:sz="0" w:space="0" w:color="auto"/>
            <w:right w:val="none" w:sz="0" w:space="0" w:color="auto"/>
          </w:divBdr>
        </w:div>
        <w:div w:id="1910068026">
          <w:marLeft w:val="0"/>
          <w:marRight w:val="0"/>
          <w:marTop w:val="20"/>
          <w:marBottom w:val="101"/>
          <w:divBdr>
            <w:top w:val="none" w:sz="0" w:space="0" w:color="auto"/>
            <w:left w:val="none" w:sz="0" w:space="0" w:color="auto"/>
            <w:bottom w:val="none" w:sz="0" w:space="0" w:color="auto"/>
            <w:right w:val="none" w:sz="0" w:space="0" w:color="auto"/>
          </w:divBdr>
        </w:div>
        <w:div w:id="1853103247">
          <w:marLeft w:val="0"/>
          <w:marRight w:val="0"/>
          <w:marTop w:val="20"/>
          <w:marBottom w:val="101"/>
          <w:divBdr>
            <w:top w:val="none" w:sz="0" w:space="0" w:color="auto"/>
            <w:left w:val="none" w:sz="0" w:space="0" w:color="auto"/>
            <w:bottom w:val="none" w:sz="0" w:space="0" w:color="auto"/>
            <w:right w:val="none" w:sz="0" w:space="0" w:color="auto"/>
          </w:divBdr>
        </w:div>
        <w:div w:id="770856275">
          <w:marLeft w:val="0"/>
          <w:marRight w:val="0"/>
          <w:marTop w:val="20"/>
          <w:marBottom w:val="101"/>
          <w:divBdr>
            <w:top w:val="none" w:sz="0" w:space="0" w:color="auto"/>
            <w:left w:val="none" w:sz="0" w:space="0" w:color="auto"/>
            <w:bottom w:val="none" w:sz="0" w:space="0" w:color="auto"/>
            <w:right w:val="none" w:sz="0" w:space="0" w:color="auto"/>
          </w:divBdr>
        </w:div>
        <w:div w:id="2098095609">
          <w:marLeft w:val="0"/>
          <w:marRight w:val="0"/>
          <w:marTop w:val="20"/>
          <w:marBottom w:val="101"/>
          <w:divBdr>
            <w:top w:val="none" w:sz="0" w:space="0" w:color="auto"/>
            <w:left w:val="none" w:sz="0" w:space="0" w:color="auto"/>
            <w:bottom w:val="none" w:sz="0" w:space="0" w:color="auto"/>
            <w:right w:val="none" w:sz="0" w:space="0" w:color="auto"/>
          </w:divBdr>
        </w:div>
        <w:div w:id="569732876">
          <w:marLeft w:val="0"/>
          <w:marRight w:val="0"/>
          <w:marTop w:val="20"/>
          <w:marBottom w:val="101"/>
          <w:divBdr>
            <w:top w:val="none" w:sz="0" w:space="0" w:color="auto"/>
            <w:left w:val="none" w:sz="0" w:space="0" w:color="auto"/>
            <w:bottom w:val="none" w:sz="0" w:space="0" w:color="auto"/>
            <w:right w:val="none" w:sz="0" w:space="0" w:color="auto"/>
          </w:divBdr>
        </w:div>
        <w:div w:id="922031639">
          <w:marLeft w:val="0"/>
          <w:marRight w:val="0"/>
          <w:marTop w:val="20"/>
          <w:marBottom w:val="101"/>
          <w:divBdr>
            <w:top w:val="none" w:sz="0" w:space="0" w:color="auto"/>
            <w:left w:val="none" w:sz="0" w:space="0" w:color="auto"/>
            <w:bottom w:val="none" w:sz="0" w:space="0" w:color="auto"/>
            <w:right w:val="none" w:sz="0" w:space="0" w:color="auto"/>
          </w:divBdr>
        </w:div>
        <w:div w:id="147479101">
          <w:marLeft w:val="0"/>
          <w:marRight w:val="0"/>
          <w:marTop w:val="20"/>
          <w:marBottom w:val="101"/>
          <w:divBdr>
            <w:top w:val="none" w:sz="0" w:space="0" w:color="auto"/>
            <w:left w:val="none" w:sz="0" w:space="0" w:color="auto"/>
            <w:bottom w:val="none" w:sz="0" w:space="0" w:color="auto"/>
            <w:right w:val="none" w:sz="0" w:space="0" w:color="auto"/>
          </w:divBdr>
        </w:div>
        <w:div w:id="140318874">
          <w:marLeft w:val="0"/>
          <w:marRight w:val="0"/>
          <w:marTop w:val="20"/>
          <w:marBottom w:val="101"/>
          <w:divBdr>
            <w:top w:val="none" w:sz="0" w:space="0" w:color="auto"/>
            <w:left w:val="none" w:sz="0" w:space="0" w:color="auto"/>
            <w:bottom w:val="none" w:sz="0" w:space="0" w:color="auto"/>
            <w:right w:val="none" w:sz="0" w:space="0" w:color="auto"/>
          </w:divBdr>
        </w:div>
        <w:div w:id="1769495408">
          <w:marLeft w:val="0"/>
          <w:marRight w:val="0"/>
          <w:marTop w:val="20"/>
          <w:marBottom w:val="101"/>
          <w:divBdr>
            <w:top w:val="none" w:sz="0" w:space="0" w:color="auto"/>
            <w:left w:val="none" w:sz="0" w:space="0" w:color="auto"/>
            <w:bottom w:val="none" w:sz="0" w:space="0" w:color="auto"/>
            <w:right w:val="none" w:sz="0" w:space="0" w:color="auto"/>
          </w:divBdr>
        </w:div>
        <w:div w:id="100808486">
          <w:marLeft w:val="0"/>
          <w:marRight w:val="0"/>
          <w:marTop w:val="20"/>
          <w:marBottom w:val="101"/>
          <w:divBdr>
            <w:top w:val="none" w:sz="0" w:space="0" w:color="auto"/>
            <w:left w:val="none" w:sz="0" w:space="0" w:color="auto"/>
            <w:bottom w:val="none" w:sz="0" w:space="0" w:color="auto"/>
            <w:right w:val="none" w:sz="0" w:space="0" w:color="auto"/>
          </w:divBdr>
        </w:div>
        <w:div w:id="1463889126">
          <w:marLeft w:val="0"/>
          <w:marRight w:val="0"/>
          <w:marTop w:val="20"/>
          <w:marBottom w:val="101"/>
          <w:divBdr>
            <w:top w:val="none" w:sz="0" w:space="0" w:color="auto"/>
            <w:left w:val="none" w:sz="0" w:space="0" w:color="auto"/>
            <w:bottom w:val="none" w:sz="0" w:space="0" w:color="auto"/>
            <w:right w:val="none" w:sz="0" w:space="0" w:color="auto"/>
          </w:divBdr>
        </w:div>
        <w:div w:id="265583575">
          <w:marLeft w:val="0"/>
          <w:marRight w:val="0"/>
          <w:marTop w:val="20"/>
          <w:marBottom w:val="101"/>
          <w:divBdr>
            <w:top w:val="none" w:sz="0" w:space="0" w:color="auto"/>
            <w:left w:val="none" w:sz="0" w:space="0" w:color="auto"/>
            <w:bottom w:val="none" w:sz="0" w:space="0" w:color="auto"/>
            <w:right w:val="none" w:sz="0" w:space="0" w:color="auto"/>
          </w:divBdr>
        </w:div>
        <w:div w:id="181214520">
          <w:marLeft w:val="0"/>
          <w:marRight w:val="0"/>
          <w:marTop w:val="20"/>
          <w:marBottom w:val="101"/>
          <w:divBdr>
            <w:top w:val="none" w:sz="0" w:space="0" w:color="auto"/>
            <w:left w:val="none" w:sz="0" w:space="0" w:color="auto"/>
            <w:bottom w:val="none" w:sz="0" w:space="0" w:color="auto"/>
            <w:right w:val="none" w:sz="0" w:space="0" w:color="auto"/>
          </w:divBdr>
        </w:div>
        <w:div w:id="2014333462">
          <w:marLeft w:val="0"/>
          <w:marRight w:val="0"/>
          <w:marTop w:val="20"/>
          <w:marBottom w:val="101"/>
          <w:divBdr>
            <w:top w:val="none" w:sz="0" w:space="0" w:color="auto"/>
            <w:left w:val="none" w:sz="0" w:space="0" w:color="auto"/>
            <w:bottom w:val="none" w:sz="0" w:space="0" w:color="auto"/>
            <w:right w:val="none" w:sz="0" w:space="0" w:color="auto"/>
          </w:divBdr>
        </w:div>
        <w:div w:id="1167357610">
          <w:marLeft w:val="0"/>
          <w:marRight w:val="0"/>
          <w:marTop w:val="20"/>
          <w:marBottom w:val="101"/>
          <w:divBdr>
            <w:top w:val="none" w:sz="0" w:space="0" w:color="auto"/>
            <w:left w:val="none" w:sz="0" w:space="0" w:color="auto"/>
            <w:bottom w:val="none" w:sz="0" w:space="0" w:color="auto"/>
            <w:right w:val="none" w:sz="0" w:space="0" w:color="auto"/>
          </w:divBdr>
        </w:div>
        <w:div w:id="1940794822">
          <w:marLeft w:val="0"/>
          <w:marRight w:val="0"/>
          <w:marTop w:val="20"/>
          <w:marBottom w:val="101"/>
          <w:divBdr>
            <w:top w:val="none" w:sz="0" w:space="0" w:color="auto"/>
            <w:left w:val="none" w:sz="0" w:space="0" w:color="auto"/>
            <w:bottom w:val="none" w:sz="0" w:space="0" w:color="auto"/>
            <w:right w:val="none" w:sz="0" w:space="0" w:color="auto"/>
          </w:divBdr>
        </w:div>
        <w:div w:id="1594313556">
          <w:marLeft w:val="0"/>
          <w:marRight w:val="0"/>
          <w:marTop w:val="20"/>
          <w:marBottom w:val="101"/>
          <w:divBdr>
            <w:top w:val="none" w:sz="0" w:space="0" w:color="auto"/>
            <w:left w:val="none" w:sz="0" w:space="0" w:color="auto"/>
            <w:bottom w:val="none" w:sz="0" w:space="0" w:color="auto"/>
            <w:right w:val="none" w:sz="0" w:space="0" w:color="auto"/>
          </w:divBdr>
        </w:div>
        <w:div w:id="1641618813">
          <w:marLeft w:val="0"/>
          <w:marRight w:val="0"/>
          <w:marTop w:val="20"/>
          <w:marBottom w:val="101"/>
          <w:divBdr>
            <w:top w:val="none" w:sz="0" w:space="0" w:color="auto"/>
            <w:left w:val="none" w:sz="0" w:space="0" w:color="auto"/>
            <w:bottom w:val="none" w:sz="0" w:space="0" w:color="auto"/>
            <w:right w:val="none" w:sz="0" w:space="0" w:color="auto"/>
          </w:divBdr>
        </w:div>
        <w:div w:id="1686204417">
          <w:marLeft w:val="0"/>
          <w:marRight w:val="0"/>
          <w:marTop w:val="20"/>
          <w:marBottom w:val="101"/>
          <w:divBdr>
            <w:top w:val="none" w:sz="0" w:space="0" w:color="auto"/>
            <w:left w:val="none" w:sz="0" w:space="0" w:color="auto"/>
            <w:bottom w:val="none" w:sz="0" w:space="0" w:color="auto"/>
            <w:right w:val="none" w:sz="0" w:space="0" w:color="auto"/>
          </w:divBdr>
        </w:div>
        <w:div w:id="1899047080">
          <w:marLeft w:val="0"/>
          <w:marRight w:val="0"/>
          <w:marTop w:val="20"/>
          <w:marBottom w:val="101"/>
          <w:divBdr>
            <w:top w:val="none" w:sz="0" w:space="0" w:color="auto"/>
            <w:left w:val="none" w:sz="0" w:space="0" w:color="auto"/>
            <w:bottom w:val="none" w:sz="0" w:space="0" w:color="auto"/>
            <w:right w:val="none" w:sz="0" w:space="0" w:color="auto"/>
          </w:divBdr>
        </w:div>
        <w:div w:id="1043483680">
          <w:marLeft w:val="0"/>
          <w:marRight w:val="0"/>
          <w:marTop w:val="20"/>
          <w:marBottom w:val="101"/>
          <w:divBdr>
            <w:top w:val="none" w:sz="0" w:space="0" w:color="auto"/>
            <w:left w:val="none" w:sz="0" w:space="0" w:color="auto"/>
            <w:bottom w:val="none" w:sz="0" w:space="0" w:color="auto"/>
            <w:right w:val="none" w:sz="0" w:space="0" w:color="auto"/>
          </w:divBdr>
        </w:div>
        <w:div w:id="452136217">
          <w:marLeft w:val="907"/>
          <w:marRight w:val="0"/>
          <w:marTop w:val="80"/>
          <w:marBottom w:val="101"/>
          <w:divBdr>
            <w:top w:val="none" w:sz="0" w:space="0" w:color="auto"/>
            <w:left w:val="none" w:sz="0" w:space="0" w:color="auto"/>
            <w:bottom w:val="none" w:sz="0" w:space="0" w:color="auto"/>
            <w:right w:val="none" w:sz="0" w:space="0" w:color="auto"/>
          </w:divBdr>
        </w:div>
        <w:div w:id="2018118669">
          <w:marLeft w:val="900"/>
          <w:marRight w:val="0"/>
          <w:marTop w:val="0"/>
          <w:marBottom w:val="101"/>
          <w:divBdr>
            <w:top w:val="none" w:sz="0" w:space="0" w:color="auto"/>
            <w:left w:val="none" w:sz="0" w:space="0" w:color="auto"/>
            <w:bottom w:val="none" w:sz="0" w:space="0" w:color="auto"/>
            <w:right w:val="none" w:sz="0" w:space="0" w:color="auto"/>
          </w:divBdr>
        </w:div>
        <w:div w:id="1567304244">
          <w:marLeft w:val="900"/>
          <w:marRight w:val="0"/>
          <w:marTop w:val="0"/>
          <w:marBottom w:val="101"/>
          <w:divBdr>
            <w:top w:val="none" w:sz="0" w:space="0" w:color="auto"/>
            <w:left w:val="none" w:sz="0" w:space="0" w:color="auto"/>
            <w:bottom w:val="none" w:sz="0" w:space="0" w:color="auto"/>
            <w:right w:val="none" w:sz="0" w:space="0" w:color="auto"/>
          </w:divBdr>
        </w:div>
        <w:div w:id="463472086">
          <w:marLeft w:val="1260"/>
          <w:marRight w:val="0"/>
          <w:marTop w:val="0"/>
          <w:marBottom w:val="101"/>
          <w:divBdr>
            <w:top w:val="none" w:sz="0" w:space="0" w:color="auto"/>
            <w:left w:val="none" w:sz="0" w:space="0" w:color="auto"/>
            <w:bottom w:val="none" w:sz="0" w:space="0" w:color="auto"/>
            <w:right w:val="none" w:sz="0" w:space="0" w:color="auto"/>
          </w:divBdr>
        </w:div>
        <w:div w:id="1731808818">
          <w:marLeft w:val="1260"/>
          <w:marRight w:val="0"/>
          <w:marTop w:val="0"/>
          <w:marBottom w:val="101"/>
          <w:divBdr>
            <w:top w:val="none" w:sz="0" w:space="0" w:color="auto"/>
            <w:left w:val="none" w:sz="0" w:space="0" w:color="auto"/>
            <w:bottom w:val="none" w:sz="0" w:space="0" w:color="auto"/>
            <w:right w:val="none" w:sz="0" w:space="0" w:color="auto"/>
          </w:divBdr>
        </w:div>
        <w:div w:id="1640380731">
          <w:marLeft w:val="1260"/>
          <w:marRight w:val="0"/>
          <w:marTop w:val="0"/>
          <w:marBottom w:val="101"/>
          <w:divBdr>
            <w:top w:val="none" w:sz="0" w:space="0" w:color="auto"/>
            <w:left w:val="none" w:sz="0" w:space="0" w:color="auto"/>
            <w:bottom w:val="none" w:sz="0" w:space="0" w:color="auto"/>
            <w:right w:val="none" w:sz="0" w:space="0" w:color="auto"/>
          </w:divBdr>
        </w:div>
        <w:div w:id="737676081">
          <w:marLeft w:val="810"/>
          <w:marRight w:val="0"/>
          <w:marTop w:val="0"/>
          <w:marBottom w:val="101"/>
          <w:divBdr>
            <w:top w:val="none" w:sz="0" w:space="0" w:color="auto"/>
            <w:left w:val="none" w:sz="0" w:space="0" w:color="auto"/>
            <w:bottom w:val="none" w:sz="0" w:space="0" w:color="auto"/>
            <w:right w:val="none" w:sz="0" w:space="0" w:color="auto"/>
          </w:divBdr>
        </w:div>
        <w:div w:id="1854345883">
          <w:marLeft w:val="810"/>
          <w:marRight w:val="0"/>
          <w:marTop w:val="0"/>
          <w:marBottom w:val="101"/>
          <w:divBdr>
            <w:top w:val="none" w:sz="0" w:space="0" w:color="auto"/>
            <w:left w:val="none" w:sz="0" w:space="0" w:color="auto"/>
            <w:bottom w:val="none" w:sz="0" w:space="0" w:color="auto"/>
            <w:right w:val="none" w:sz="0" w:space="0" w:color="auto"/>
          </w:divBdr>
        </w:div>
        <w:div w:id="1286084946">
          <w:marLeft w:val="1260"/>
          <w:marRight w:val="0"/>
          <w:marTop w:val="0"/>
          <w:marBottom w:val="101"/>
          <w:divBdr>
            <w:top w:val="none" w:sz="0" w:space="0" w:color="auto"/>
            <w:left w:val="none" w:sz="0" w:space="0" w:color="auto"/>
            <w:bottom w:val="none" w:sz="0" w:space="0" w:color="auto"/>
            <w:right w:val="none" w:sz="0" w:space="0" w:color="auto"/>
          </w:divBdr>
        </w:div>
        <w:div w:id="1582830325">
          <w:marLeft w:val="1260"/>
          <w:marRight w:val="0"/>
          <w:marTop w:val="0"/>
          <w:marBottom w:val="101"/>
          <w:divBdr>
            <w:top w:val="none" w:sz="0" w:space="0" w:color="auto"/>
            <w:left w:val="none" w:sz="0" w:space="0" w:color="auto"/>
            <w:bottom w:val="none" w:sz="0" w:space="0" w:color="auto"/>
            <w:right w:val="none" w:sz="0" w:space="0" w:color="auto"/>
          </w:divBdr>
        </w:div>
        <w:div w:id="1619680393">
          <w:marLeft w:val="1260"/>
          <w:marRight w:val="0"/>
          <w:marTop w:val="0"/>
          <w:marBottom w:val="101"/>
          <w:divBdr>
            <w:top w:val="none" w:sz="0" w:space="0" w:color="auto"/>
            <w:left w:val="none" w:sz="0" w:space="0" w:color="auto"/>
            <w:bottom w:val="none" w:sz="0" w:space="0" w:color="auto"/>
            <w:right w:val="none" w:sz="0" w:space="0" w:color="auto"/>
          </w:divBdr>
        </w:div>
        <w:div w:id="480200748">
          <w:marLeft w:val="810"/>
          <w:marRight w:val="0"/>
          <w:marTop w:val="0"/>
          <w:marBottom w:val="101"/>
          <w:divBdr>
            <w:top w:val="none" w:sz="0" w:space="0" w:color="auto"/>
            <w:left w:val="none" w:sz="0" w:space="0" w:color="auto"/>
            <w:bottom w:val="none" w:sz="0" w:space="0" w:color="auto"/>
            <w:right w:val="none" w:sz="0" w:space="0" w:color="auto"/>
          </w:divBdr>
        </w:div>
        <w:div w:id="1450472009">
          <w:marLeft w:val="810"/>
          <w:marRight w:val="0"/>
          <w:marTop w:val="0"/>
          <w:marBottom w:val="101"/>
          <w:divBdr>
            <w:top w:val="none" w:sz="0" w:space="0" w:color="auto"/>
            <w:left w:val="none" w:sz="0" w:space="0" w:color="auto"/>
            <w:bottom w:val="none" w:sz="0" w:space="0" w:color="auto"/>
            <w:right w:val="none" w:sz="0" w:space="0" w:color="auto"/>
          </w:divBdr>
        </w:div>
        <w:div w:id="292637707">
          <w:marLeft w:val="810"/>
          <w:marRight w:val="0"/>
          <w:marTop w:val="0"/>
          <w:marBottom w:val="101"/>
          <w:divBdr>
            <w:top w:val="none" w:sz="0" w:space="0" w:color="auto"/>
            <w:left w:val="none" w:sz="0" w:space="0" w:color="auto"/>
            <w:bottom w:val="none" w:sz="0" w:space="0" w:color="auto"/>
            <w:right w:val="none" w:sz="0" w:space="0" w:color="auto"/>
          </w:divBdr>
        </w:div>
        <w:div w:id="1847012125">
          <w:marLeft w:val="0"/>
          <w:marRight w:val="0"/>
          <w:marTop w:val="40"/>
          <w:marBottom w:val="101"/>
          <w:divBdr>
            <w:top w:val="none" w:sz="0" w:space="0" w:color="auto"/>
            <w:left w:val="none" w:sz="0" w:space="0" w:color="auto"/>
            <w:bottom w:val="none" w:sz="0" w:space="0" w:color="auto"/>
            <w:right w:val="none" w:sz="0" w:space="0" w:color="auto"/>
          </w:divBdr>
        </w:div>
        <w:div w:id="430125696">
          <w:marLeft w:val="0"/>
          <w:marRight w:val="0"/>
          <w:marTop w:val="40"/>
          <w:marBottom w:val="101"/>
          <w:divBdr>
            <w:top w:val="none" w:sz="0" w:space="0" w:color="auto"/>
            <w:left w:val="none" w:sz="0" w:space="0" w:color="auto"/>
            <w:bottom w:val="none" w:sz="0" w:space="0" w:color="auto"/>
            <w:right w:val="none" w:sz="0" w:space="0" w:color="auto"/>
          </w:divBdr>
        </w:div>
        <w:div w:id="1768622461">
          <w:marLeft w:val="0"/>
          <w:marRight w:val="0"/>
          <w:marTop w:val="40"/>
          <w:marBottom w:val="101"/>
          <w:divBdr>
            <w:top w:val="none" w:sz="0" w:space="0" w:color="auto"/>
            <w:left w:val="none" w:sz="0" w:space="0" w:color="auto"/>
            <w:bottom w:val="none" w:sz="0" w:space="0" w:color="auto"/>
            <w:right w:val="none" w:sz="0" w:space="0" w:color="auto"/>
          </w:divBdr>
        </w:div>
        <w:div w:id="2086762890">
          <w:marLeft w:val="0"/>
          <w:marRight w:val="0"/>
          <w:marTop w:val="40"/>
          <w:marBottom w:val="101"/>
          <w:divBdr>
            <w:top w:val="none" w:sz="0" w:space="0" w:color="auto"/>
            <w:left w:val="none" w:sz="0" w:space="0" w:color="auto"/>
            <w:bottom w:val="none" w:sz="0" w:space="0" w:color="auto"/>
            <w:right w:val="none" w:sz="0" w:space="0" w:color="auto"/>
          </w:divBdr>
        </w:div>
        <w:div w:id="1083144605">
          <w:marLeft w:val="0"/>
          <w:marRight w:val="0"/>
          <w:marTop w:val="40"/>
          <w:marBottom w:val="101"/>
          <w:divBdr>
            <w:top w:val="none" w:sz="0" w:space="0" w:color="auto"/>
            <w:left w:val="none" w:sz="0" w:space="0" w:color="auto"/>
            <w:bottom w:val="none" w:sz="0" w:space="0" w:color="auto"/>
            <w:right w:val="none" w:sz="0" w:space="0" w:color="auto"/>
          </w:divBdr>
        </w:div>
        <w:div w:id="722483918">
          <w:marLeft w:val="0"/>
          <w:marRight w:val="0"/>
          <w:marTop w:val="40"/>
          <w:marBottom w:val="101"/>
          <w:divBdr>
            <w:top w:val="none" w:sz="0" w:space="0" w:color="auto"/>
            <w:left w:val="none" w:sz="0" w:space="0" w:color="auto"/>
            <w:bottom w:val="none" w:sz="0" w:space="0" w:color="auto"/>
            <w:right w:val="none" w:sz="0" w:space="0" w:color="auto"/>
          </w:divBdr>
        </w:div>
        <w:div w:id="1839923448">
          <w:marLeft w:val="810"/>
          <w:marRight w:val="0"/>
          <w:marTop w:val="0"/>
          <w:marBottom w:val="101"/>
          <w:divBdr>
            <w:top w:val="none" w:sz="0" w:space="0" w:color="auto"/>
            <w:left w:val="none" w:sz="0" w:space="0" w:color="auto"/>
            <w:bottom w:val="none" w:sz="0" w:space="0" w:color="auto"/>
            <w:right w:val="none" w:sz="0" w:space="0" w:color="auto"/>
          </w:divBdr>
        </w:div>
        <w:div w:id="848183507">
          <w:marLeft w:val="810"/>
          <w:marRight w:val="0"/>
          <w:marTop w:val="0"/>
          <w:marBottom w:val="101"/>
          <w:divBdr>
            <w:top w:val="none" w:sz="0" w:space="0" w:color="auto"/>
            <w:left w:val="none" w:sz="0" w:space="0" w:color="auto"/>
            <w:bottom w:val="none" w:sz="0" w:space="0" w:color="auto"/>
            <w:right w:val="none" w:sz="0" w:space="0" w:color="auto"/>
          </w:divBdr>
        </w:div>
        <w:div w:id="1898013135">
          <w:marLeft w:val="0"/>
          <w:marRight w:val="0"/>
          <w:marTop w:val="40"/>
          <w:marBottom w:val="101"/>
          <w:divBdr>
            <w:top w:val="none" w:sz="0" w:space="0" w:color="auto"/>
            <w:left w:val="none" w:sz="0" w:space="0" w:color="auto"/>
            <w:bottom w:val="none" w:sz="0" w:space="0" w:color="auto"/>
            <w:right w:val="none" w:sz="0" w:space="0" w:color="auto"/>
          </w:divBdr>
        </w:div>
        <w:div w:id="1890220698">
          <w:marLeft w:val="0"/>
          <w:marRight w:val="0"/>
          <w:marTop w:val="40"/>
          <w:marBottom w:val="101"/>
          <w:divBdr>
            <w:top w:val="none" w:sz="0" w:space="0" w:color="auto"/>
            <w:left w:val="none" w:sz="0" w:space="0" w:color="auto"/>
            <w:bottom w:val="none" w:sz="0" w:space="0" w:color="auto"/>
            <w:right w:val="none" w:sz="0" w:space="0" w:color="auto"/>
          </w:divBdr>
        </w:div>
        <w:div w:id="335881877">
          <w:marLeft w:val="0"/>
          <w:marRight w:val="0"/>
          <w:marTop w:val="40"/>
          <w:marBottom w:val="101"/>
          <w:divBdr>
            <w:top w:val="none" w:sz="0" w:space="0" w:color="auto"/>
            <w:left w:val="none" w:sz="0" w:space="0" w:color="auto"/>
            <w:bottom w:val="none" w:sz="0" w:space="0" w:color="auto"/>
            <w:right w:val="none" w:sz="0" w:space="0" w:color="auto"/>
          </w:divBdr>
        </w:div>
        <w:div w:id="813331387">
          <w:marLeft w:val="0"/>
          <w:marRight w:val="0"/>
          <w:marTop w:val="40"/>
          <w:marBottom w:val="101"/>
          <w:divBdr>
            <w:top w:val="none" w:sz="0" w:space="0" w:color="auto"/>
            <w:left w:val="none" w:sz="0" w:space="0" w:color="auto"/>
            <w:bottom w:val="none" w:sz="0" w:space="0" w:color="auto"/>
            <w:right w:val="none" w:sz="0" w:space="0" w:color="auto"/>
          </w:divBdr>
        </w:div>
        <w:div w:id="1885289210">
          <w:marLeft w:val="0"/>
          <w:marRight w:val="0"/>
          <w:marTop w:val="40"/>
          <w:marBottom w:val="101"/>
          <w:divBdr>
            <w:top w:val="none" w:sz="0" w:space="0" w:color="auto"/>
            <w:left w:val="none" w:sz="0" w:space="0" w:color="auto"/>
            <w:bottom w:val="none" w:sz="0" w:space="0" w:color="auto"/>
            <w:right w:val="none" w:sz="0" w:space="0" w:color="auto"/>
          </w:divBdr>
        </w:div>
        <w:div w:id="256065118">
          <w:marLeft w:val="0"/>
          <w:marRight w:val="0"/>
          <w:marTop w:val="40"/>
          <w:marBottom w:val="101"/>
          <w:divBdr>
            <w:top w:val="none" w:sz="0" w:space="0" w:color="auto"/>
            <w:left w:val="none" w:sz="0" w:space="0" w:color="auto"/>
            <w:bottom w:val="none" w:sz="0" w:space="0" w:color="auto"/>
            <w:right w:val="none" w:sz="0" w:space="0" w:color="auto"/>
          </w:divBdr>
        </w:div>
        <w:div w:id="768742395">
          <w:marLeft w:val="0"/>
          <w:marRight w:val="0"/>
          <w:marTop w:val="40"/>
          <w:marBottom w:val="101"/>
          <w:divBdr>
            <w:top w:val="none" w:sz="0" w:space="0" w:color="auto"/>
            <w:left w:val="none" w:sz="0" w:space="0" w:color="auto"/>
            <w:bottom w:val="none" w:sz="0" w:space="0" w:color="auto"/>
            <w:right w:val="none" w:sz="0" w:space="0" w:color="auto"/>
          </w:divBdr>
        </w:div>
        <w:div w:id="5447051">
          <w:marLeft w:val="0"/>
          <w:marRight w:val="0"/>
          <w:marTop w:val="40"/>
          <w:marBottom w:val="101"/>
          <w:divBdr>
            <w:top w:val="none" w:sz="0" w:space="0" w:color="auto"/>
            <w:left w:val="none" w:sz="0" w:space="0" w:color="auto"/>
            <w:bottom w:val="none" w:sz="0" w:space="0" w:color="auto"/>
            <w:right w:val="none" w:sz="0" w:space="0" w:color="auto"/>
          </w:divBdr>
        </w:div>
        <w:div w:id="1757706227">
          <w:marLeft w:val="0"/>
          <w:marRight w:val="0"/>
          <w:marTop w:val="40"/>
          <w:marBottom w:val="101"/>
          <w:divBdr>
            <w:top w:val="none" w:sz="0" w:space="0" w:color="auto"/>
            <w:left w:val="none" w:sz="0" w:space="0" w:color="auto"/>
            <w:bottom w:val="none" w:sz="0" w:space="0" w:color="auto"/>
            <w:right w:val="none" w:sz="0" w:space="0" w:color="auto"/>
          </w:divBdr>
        </w:div>
        <w:div w:id="1094865480">
          <w:marLeft w:val="0"/>
          <w:marRight w:val="0"/>
          <w:marTop w:val="40"/>
          <w:marBottom w:val="101"/>
          <w:divBdr>
            <w:top w:val="none" w:sz="0" w:space="0" w:color="auto"/>
            <w:left w:val="none" w:sz="0" w:space="0" w:color="auto"/>
            <w:bottom w:val="none" w:sz="0" w:space="0" w:color="auto"/>
            <w:right w:val="none" w:sz="0" w:space="0" w:color="auto"/>
          </w:divBdr>
        </w:div>
        <w:div w:id="718238711">
          <w:marLeft w:val="0"/>
          <w:marRight w:val="0"/>
          <w:marTop w:val="40"/>
          <w:marBottom w:val="101"/>
          <w:divBdr>
            <w:top w:val="none" w:sz="0" w:space="0" w:color="auto"/>
            <w:left w:val="none" w:sz="0" w:space="0" w:color="auto"/>
            <w:bottom w:val="none" w:sz="0" w:space="0" w:color="auto"/>
            <w:right w:val="none" w:sz="0" w:space="0" w:color="auto"/>
          </w:divBdr>
        </w:div>
        <w:div w:id="1650669117">
          <w:marLeft w:val="0"/>
          <w:marRight w:val="0"/>
          <w:marTop w:val="40"/>
          <w:marBottom w:val="101"/>
          <w:divBdr>
            <w:top w:val="none" w:sz="0" w:space="0" w:color="auto"/>
            <w:left w:val="none" w:sz="0" w:space="0" w:color="auto"/>
            <w:bottom w:val="none" w:sz="0" w:space="0" w:color="auto"/>
            <w:right w:val="none" w:sz="0" w:space="0" w:color="auto"/>
          </w:divBdr>
        </w:div>
        <w:div w:id="818809329">
          <w:marLeft w:val="0"/>
          <w:marRight w:val="0"/>
          <w:marTop w:val="40"/>
          <w:marBottom w:val="101"/>
          <w:divBdr>
            <w:top w:val="none" w:sz="0" w:space="0" w:color="auto"/>
            <w:left w:val="none" w:sz="0" w:space="0" w:color="auto"/>
            <w:bottom w:val="none" w:sz="0" w:space="0" w:color="auto"/>
            <w:right w:val="none" w:sz="0" w:space="0" w:color="auto"/>
          </w:divBdr>
        </w:div>
        <w:div w:id="1699770852">
          <w:marLeft w:val="0"/>
          <w:marRight w:val="0"/>
          <w:marTop w:val="40"/>
          <w:marBottom w:val="101"/>
          <w:divBdr>
            <w:top w:val="none" w:sz="0" w:space="0" w:color="auto"/>
            <w:left w:val="none" w:sz="0" w:space="0" w:color="auto"/>
            <w:bottom w:val="none" w:sz="0" w:space="0" w:color="auto"/>
            <w:right w:val="none" w:sz="0" w:space="0" w:color="auto"/>
          </w:divBdr>
        </w:div>
        <w:div w:id="1401446056">
          <w:marLeft w:val="0"/>
          <w:marRight w:val="0"/>
          <w:marTop w:val="40"/>
          <w:marBottom w:val="101"/>
          <w:divBdr>
            <w:top w:val="none" w:sz="0" w:space="0" w:color="auto"/>
            <w:left w:val="none" w:sz="0" w:space="0" w:color="auto"/>
            <w:bottom w:val="none" w:sz="0" w:space="0" w:color="auto"/>
            <w:right w:val="none" w:sz="0" w:space="0" w:color="auto"/>
          </w:divBdr>
        </w:div>
        <w:div w:id="2141877676">
          <w:marLeft w:val="0"/>
          <w:marRight w:val="0"/>
          <w:marTop w:val="40"/>
          <w:marBottom w:val="101"/>
          <w:divBdr>
            <w:top w:val="none" w:sz="0" w:space="0" w:color="auto"/>
            <w:left w:val="none" w:sz="0" w:space="0" w:color="auto"/>
            <w:bottom w:val="none" w:sz="0" w:space="0" w:color="auto"/>
            <w:right w:val="none" w:sz="0" w:space="0" w:color="auto"/>
          </w:divBdr>
        </w:div>
        <w:div w:id="1652902585">
          <w:marLeft w:val="0"/>
          <w:marRight w:val="0"/>
          <w:marTop w:val="40"/>
          <w:marBottom w:val="101"/>
          <w:divBdr>
            <w:top w:val="none" w:sz="0" w:space="0" w:color="auto"/>
            <w:left w:val="none" w:sz="0" w:space="0" w:color="auto"/>
            <w:bottom w:val="none" w:sz="0" w:space="0" w:color="auto"/>
            <w:right w:val="none" w:sz="0" w:space="0" w:color="auto"/>
          </w:divBdr>
        </w:div>
        <w:div w:id="339163883">
          <w:marLeft w:val="907"/>
          <w:marRight w:val="0"/>
          <w:marTop w:val="60"/>
          <w:marBottom w:val="101"/>
          <w:divBdr>
            <w:top w:val="none" w:sz="0" w:space="0" w:color="auto"/>
            <w:left w:val="none" w:sz="0" w:space="0" w:color="auto"/>
            <w:bottom w:val="none" w:sz="0" w:space="0" w:color="auto"/>
            <w:right w:val="none" w:sz="0" w:space="0" w:color="auto"/>
          </w:divBdr>
        </w:div>
        <w:div w:id="1962106672">
          <w:marLeft w:val="900"/>
          <w:marRight w:val="0"/>
          <w:marTop w:val="0"/>
          <w:marBottom w:val="101"/>
          <w:divBdr>
            <w:top w:val="none" w:sz="0" w:space="0" w:color="auto"/>
            <w:left w:val="none" w:sz="0" w:space="0" w:color="auto"/>
            <w:bottom w:val="none" w:sz="0" w:space="0" w:color="auto"/>
            <w:right w:val="none" w:sz="0" w:space="0" w:color="auto"/>
          </w:divBdr>
        </w:div>
        <w:div w:id="1174953495">
          <w:marLeft w:val="900"/>
          <w:marRight w:val="0"/>
          <w:marTop w:val="0"/>
          <w:marBottom w:val="101"/>
          <w:divBdr>
            <w:top w:val="none" w:sz="0" w:space="0" w:color="auto"/>
            <w:left w:val="none" w:sz="0" w:space="0" w:color="auto"/>
            <w:bottom w:val="none" w:sz="0" w:space="0" w:color="auto"/>
            <w:right w:val="none" w:sz="0" w:space="0" w:color="auto"/>
          </w:divBdr>
        </w:div>
        <w:div w:id="1320501563">
          <w:marLeft w:val="900"/>
          <w:marRight w:val="0"/>
          <w:marTop w:val="0"/>
          <w:marBottom w:val="101"/>
          <w:divBdr>
            <w:top w:val="none" w:sz="0" w:space="0" w:color="auto"/>
            <w:left w:val="none" w:sz="0" w:space="0" w:color="auto"/>
            <w:bottom w:val="none" w:sz="0" w:space="0" w:color="auto"/>
            <w:right w:val="none" w:sz="0" w:space="0" w:color="auto"/>
          </w:divBdr>
        </w:div>
        <w:div w:id="390346990">
          <w:marLeft w:val="900"/>
          <w:marRight w:val="0"/>
          <w:marTop w:val="0"/>
          <w:marBottom w:val="101"/>
          <w:divBdr>
            <w:top w:val="none" w:sz="0" w:space="0" w:color="auto"/>
            <w:left w:val="none" w:sz="0" w:space="0" w:color="auto"/>
            <w:bottom w:val="none" w:sz="0" w:space="0" w:color="auto"/>
            <w:right w:val="none" w:sz="0" w:space="0" w:color="auto"/>
          </w:divBdr>
        </w:div>
        <w:div w:id="567495016">
          <w:marLeft w:val="900"/>
          <w:marRight w:val="0"/>
          <w:marTop w:val="0"/>
          <w:marBottom w:val="101"/>
          <w:divBdr>
            <w:top w:val="none" w:sz="0" w:space="0" w:color="auto"/>
            <w:left w:val="none" w:sz="0" w:space="0" w:color="auto"/>
            <w:bottom w:val="none" w:sz="0" w:space="0" w:color="auto"/>
            <w:right w:val="none" w:sz="0" w:space="0" w:color="auto"/>
          </w:divBdr>
        </w:div>
        <w:div w:id="1239369061">
          <w:marLeft w:val="900"/>
          <w:marRight w:val="0"/>
          <w:marTop w:val="0"/>
          <w:marBottom w:val="101"/>
          <w:divBdr>
            <w:top w:val="none" w:sz="0" w:space="0" w:color="auto"/>
            <w:left w:val="none" w:sz="0" w:space="0" w:color="auto"/>
            <w:bottom w:val="none" w:sz="0" w:space="0" w:color="auto"/>
            <w:right w:val="none" w:sz="0" w:space="0" w:color="auto"/>
          </w:divBdr>
        </w:div>
        <w:div w:id="1084566374">
          <w:marLeft w:val="900"/>
          <w:marRight w:val="0"/>
          <w:marTop w:val="0"/>
          <w:marBottom w:val="101"/>
          <w:divBdr>
            <w:top w:val="none" w:sz="0" w:space="0" w:color="auto"/>
            <w:left w:val="none" w:sz="0" w:space="0" w:color="auto"/>
            <w:bottom w:val="none" w:sz="0" w:space="0" w:color="auto"/>
            <w:right w:val="none" w:sz="0" w:space="0" w:color="auto"/>
          </w:divBdr>
        </w:div>
        <w:div w:id="1859660933">
          <w:marLeft w:val="900"/>
          <w:marRight w:val="0"/>
          <w:marTop w:val="0"/>
          <w:marBottom w:val="101"/>
          <w:divBdr>
            <w:top w:val="none" w:sz="0" w:space="0" w:color="auto"/>
            <w:left w:val="none" w:sz="0" w:space="0" w:color="auto"/>
            <w:bottom w:val="none" w:sz="0" w:space="0" w:color="auto"/>
            <w:right w:val="none" w:sz="0" w:space="0" w:color="auto"/>
          </w:divBdr>
        </w:div>
        <w:div w:id="158349455">
          <w:marLeft w:val="0"/>
          <w:marRight w:val="0"/>
          <w:marTop w:val="0"/>
          <w:marBottom w:val="101"/>
          <w:divBdr>
            <w:top w:val="none" w:sz="0" w:space="0" w:color="auto"/>
            <w:left w:val="none" w:sz="0" w:space="0" w:color="auto"/>
            <w:bottom w:val="none" w:sz="0" w:space="0" w:color="auto"/>
            <w:right w:val="none" w:sz="0" w:space="0" w:color="auto"/>
          </w:divBdr>
        </w:div>
        <w:div w:id="1893731351">
          <w:marLeft w:val="0"/>
          <w:marRight w:val="0"/>
          <w:marTop w:val="0"/>
          <w:marBottom w:val="101"/>
          <w:divBdr>
            <w:top w:val="none" w:sz="0" w:space="0" w:color="auto"/>
            <w:left w:val="none" w:sz="0" w:space="0" w:color="auto"/>
            <w:bottom w:val="none" w:sz="0" w:space="0" w:color="auto"/>
            <w:right w:val="none" w:sz="0" w:space="0" w:color="auto"/>
          </w:divBdr>
        </w:div>
        <w:div w:id="1622607260">
          <w:marLeft w:val="0"/>
          <w:marRight w:val="0"/>
          <w:marTop w:val="0"/>
          <w:marBottom w:val="101"/>
          <w:divBdr>
            <w:top w:val="none" w:sz="0" w:space="0" w:color="auto"/>
            <w:left w:val="none" w:sz="0" w:space="0" w:color="auto"/>
            <w:bottom w:val="single" w:sz="6" w:space="0" w:color="000000"/>
            <w:right w:val="none" w:sz="0" w:space="0" w:color="auto"/>
          </w:divBdr>
        </w:div>
        <w:div w:id="707492342">
          <w:marLeft w:val="900"/>
          <w:marRight w:val="0"/>
          <w:marTop w:val="0"/>
          <w:marBottom w:val="101"/>
          <w:divBdr>
            <w:top w:val="none" w:sz="0" w:space="0" w:color="auto"/>
            <w:left w:val="none" w:sz="0" w:space="0" w:color="auto"/>
            <w:bottom w:val="none" w:sz="0" w:space="0" w:color="auto"/>
            <w:right w:val="none" w:sz="0" w:space="0" w:color="auto"/>
          </w:divBdr>
        </w:div>
        <w:div w:id="1880622543">
          <w:marLeft w:val="1260"/>
          <w:marRight w:val="0"/>
          <w:marTop w:val="0"/>
          <w:marBottom w:val="101"/>
          <w:divBdr>
            <w:top w:val="none" w:sz="0" w:space="0" w:color="auto"/>
            <w:left w:val="none" w:sz="0" w:space="0" w:color="auto"/>
            <w:bottom w:val="none" w:sz="0" w:space="0" w:color="auto"/>
            <w:right w:val="none" w:sz="0" w:space="0" w:color="auto"/>
          </w:divBdr>
        </w:div>
        <w:div w:id="1755125579">
          <w:marLeft w:val="1260"/>
          <w:marRight w:val="0"/>
          <w:marTop w:val="0"/>
          <w:marBottom w:val="101"/>
          <w:divBdr>
            <w:top w:val="none" w:sz="0" w:space="0" w:color="auto"/>
            <w:left w:val="none" w:sz="0" w:space="0" w:color="auto"/>
            <w:bottom w:val="none" w:sz="0" w:space="0" w:color="auto"/>
            <w:right w:val="none" w:sz="0" w:space="0" w:color="auto"/>
          </w:divBdr>
        </w:div>
        <w:div w:id="702708141">
          <w:marLeft w:val="1260"/>
          <w:marRight w:val="0"/>
          <w:marTop w:val="0"/>
          <w:marBottom w:val="101"/>
          <w:divBdr>
            <w:top w:val="none" w:sz="0" w:space="0" w:color="auto"/>
            <w:left w:val="none" w:sz="0" w:space="0" w:color="auto"/>
            <w:bottom w:val="none" w:sz="0" w:space="0" w:color="auto"/>
            <w:right w:val="none" w:sz="0" w:space="0" w:color="auto"/>
          </w:divBdr>
        </w:div>
        <w:div w:id="445580837">
          <w:marLeft w:val="1260"/>
          <w:marRight w:val="0"/>
          <w:marTop w:val="0"/>
          <w:marBottom w:val="101"/>
          <w:divBdr>
            <w:top w:val="none" w:sz="0" w:space="0" w:color="auto"/>
            <w:left w:val="none" w:sz="0" w:space="0" w:color="auto"/>
            <w:bottom w:val="none" w:sz="0" w:space="0" w:color="auto"/>
            <w:right w:val="none" w:sz="0" w:space="0" w:color="auto"/>
          </w:divBdr>
        </w:div>
        <w:div w:id="857234280">
          <w:marLeft w:val="1260"/>
          <w:marRight w:val="0"/>
          <w:marTop w:val="0"/>
          <w:marBottom w:val="101"/>
          <w:divBdr>
            <w:top w:val="none" w:sz="0" w:space="0" w:color="auto"/>
            <w:left w:val="none" w:sz="0" w:space="0" w:color="auto"/>
            <w:bottom w:val="none" w:sz="0" w:space="0" w:color="auto"/>
            <w:right w:val="none" w:sz="0" w:space="0" w:color="auto"/>
          </w:divBdr>
        </w:div>
        <w:div w:id="1089884223">
          <w:marLeft w:val="1260"/>
          <w:marRight w:val="0"/>
          <w:marTop w:val="0"/>
          <w:marBottom w:val="101"/>
          <w:divBdr>
            <w:top w:val="none" w:sz="0" w:space="0" w:color="auto"/>
            <w:left w:val="none" w:sz="0" w:space="0" w:color="auto"/>
            <w:bottom w:val="none" w:sz="0" w:space="0" w:color="auto"/>
            <w:right w:val="none" w:sz="0" w:space="0" w:color="auto"/>
          </w:divBdr>
        </w:div>
        <w:div w:id="535117103">
          <w:marLeft w:val="900"/>
          <w:marRight w:val="0"/>
          <w:marTop w:val="0"/>
          <w:marBottom w:val="101"/>
          <w:divBdr>
            <w:top w:val="none" w:sz="0" w:space="0" w:color="auto"/>
            <w:left w:val="none" w:sz="0" w:space="0" w:color="auto"/>
            <w:bottom w:val="none" w:sz="0" w:space="0" w:color="auto"/>
            <w:right w:val="none" w:sz="0" w:space="0" w:color="auto"/>
          </w:divBdr>
        </w:div>
        <w:div w:id="1119840239">
          <w:marLeft w:val="900"/>
          <w:marRight w:val="0"/>
          <w:marTop w:val="0"/>
          <w:marBottom w:val="101"/>
          <w:divBdr>
            <w:top w:val="none" w:sz="0" w:space="0" w:color="auto"/>
            <w:left w:val="none" w:sz="0" w:space="0" w:color="auto"/>
            <w:bottom w:val="none" w:sz="0" w:space="0" w:color="auto"/>
            <w:right w:val="none" w:sz="0" w:space="0" w:color="auto"/>
          </w:divBdr>
        </w:div>
        <w:div w:id="1361083628">
          <w:marLeft w:val="1260"/>
          <w:marRight w:val="0"/>
          <w:marTop w:val="0"/>
          <w:marBottom w:val="101"/>
          <w:divBdr>
            <w:top w:val="none" w:sz="0" w:space="0" w:color="auto"/>
            <w:left w:val="none" w:sz="0" w:space="0" w:color="auto"/>
            <w:bottom w:val="none" w:sz="0" w:space="0" w:color="auto"/>
            <w:right w:val="none" w:sz="0" w:space="0" w:color="auto"/>
          </w:divBdr>
        </w:div>
        <w:div w:id="110709168">
          <w:marLeft w:val="1260"/>
          <w:marRight w:val="0"/>
          <w:marTop w:val="0"/>
          <w:marBottom w:val="101"/>
          <w:divBdr>
            <w:top w:val="none" w:sz="0" w:space="0" w:color="auto"/>
            <w:left w:val="none" w:sz="0" w:space="0" w:color="auto"/>
            <w:bottom w:val="none" w:sz="0" w:space="0" w:color="auto"/>
            <w:right w:val="none" w:sz="0" w:space="0" w:color="auto"/>
          </w:divBdr>
        </w:div>
        <w:div w:id="172763653">
          <w:marLeft w:val="1260"/>
          <w:marRight w:val="0"/>
          <w:marTop w:val="0"/>
          <w:marBottom w:val="101"/>
          <w:divBdr>
            <w:top w:val="none" w:sz="0" w:space="0" w:color="auto"/>
            <w:left w:val="none" w:sz="0" w:space="0" w:color="auto"/>
            <w:bottom w:val="none" w:sz="0" w:space="0" w:color="auto"/>
            <w:right w:val="none" w:sz="0" w:space="0" w:color="auto"/>
          </w:divBdr>
        </w:div>
        <w:div w:id="107969084">
          <w:marLeft w:val="900"/>
          <w:marRight w:val="0"/>
          <w:marTop w:val="0"/>
          <w:marBottom w:val="101"/>
          <w:divBdr>
            <w:top w:val="none" w:sz="0" w:space="0" w:color="auto"/>
            <w:left w:val="none" w:sz="0" w:space="0" w:color="auto"/>
            <w:bottom w:val="none" w:sz="0" w:space="0" w:color="auto"/>
            <w:right w:val="none" w:sz="0" w:space="0" w:color="auto"/>
          </w:divBdr>
        </w:div>
        <w:div w:id="1927959050">
          <w:marLeft w:val="0"/>
          <w:marRight w:val="0"/>
          <w:marTop w:val="0"/>
          <w:marBottom w:val="101"/>
          <w:divBdr>
            <w:top w:val="none" w:sz="0" w:space="0" w:color="auto"/>
            <w:left w:val="none" w:sz="0" w:space="0" w:color="auto"/>
            <w:bottom w:val="none" w:sz="0" w:space="0" w:color="auto"/>
            <w:right w:val="none" w:sz="0" w:space="0" w:color="auto"/>
          </w:divBdr>
        </w:div>
        <w:div w:id="1920485126">
          <w:marLeft w:val="0"/>
          <w:marRight w:val="0"/>
          <w:marTop w:val="0"/>
          <w:marBottom w:val="101"/>
          <w:divBdr>
            <w:top w:val="none" w:sz="0" w:space="0" w:color="auto"/>
            <w:left w:val="none" w:sz="0" w:space="0" w:color="auto"/>
            <w:bottom w:val="single" w:sz="6" w:space="0" w:color="000000"/>
            <w:right w:val="none" w:sz="0" w:space="0" w:color="auto"/>
          </w:divBdr>
        </w:div>
        <w:div w:id="1542089721">
          <w:marLeft w:val="0"/>
          <w:marRight w:val="0"/>
          <w:marTop w:val="0"/>
          <w:marBottom w:val="101"/>
          <w:divBdr>
            <w:top w:val="none" w:sz="0" w:space="0" w:color="auto"/>
            <w:left w:val="none" w:sz="0" w:space="0" w:color="auto"/>
            <w:bottom w:val="single" w:sz="6" w:space="0" w:color="000000"/>
            <w:right w:val="none" w:sz="0" w:space="0" w:color="auto"/>
          </w:divBdr>
        </w:div>
        <w:div w:id="1276400444">
          <w:marLeft w:val="0"/>
          <w:marRight w:val="0"/>
          <w:marTop w:val="0"/>
          <w:marBottom w:val="101"/>
          <w:divBdr>
            <w:top w:val="none" w:sz="0" w:space="0" w:color="auto"/>
            <w:left w:val="none" w:sz="0" w:space="0" w:color="auto"/>
            <w:bottom w:val="single" w:sz="6" w:space="0" w:color="000000"/>
            <w:right w:val="none" w:sz="0" w:space="0" w:color="auto"/>
          </w:divBdr>
        </w:div>
        <w:div w:id="885801899">
          <w:marLeft w:val="900"/>
          <w:marRight w:val="0"/>
          <w:marTop w:val="0"/>
          <w:marBottom w:val="101"/>
          <w:divBdr>
            <w:top w:val="none" w:sz="0" w:space="0" w:color="auto"/>
            <w:left w:val="none" w:sz="0" w:space="0" w:color="auto"/>
            <w:bottom w:val="none" w:sz="0" w:space="0" w:color="auto"/>
            <w:right w:val="none" w:sz="0" w:space="0" w:color="auto"/>
          </w:divBdr>
        </w:div>
        <w:div w:id="19285755">
          <w:marLeft w:val="907"/>
          <w:marRight w:val="0"/>
          <w:marTop w:val="0"/>
          <w:marBottom w:val="101"/>
          <w:divBdr>
            <w:top w:val="none" w:sz="0" w:space="0" w:color="auto"/>
            <w:left w:val="none" w:sz="0" w:space="0" w:color="auto"/>
            <w:bottom w:val="none" w:sz="0" w:space="0" w:color="auto"/>
            <w:right w:val="none" w:sz="0" w:space="0" w:color="auto"/>
          </w:divBdr>
        </w:div>
        <w:div w:id="844175942">
          <w:marLeft w:val="907"/>
          <w:marRight w:val="0"/>
          <w:marTop w:val="0"/>
          <w:marBottom w:val="101"/>
          <w:divBdr>
            <w:top w:val="none" w:sz="0" w:space="0" w:color="auto"/>
            <w:left w:val="none" w:sz="0" w:space="0" w:color="auto"/>
            <w:bottom w:val="none" w:sz="0" w:space="0" w:color="auto"/>
            <w:right w:val="none" w:sz="0" w:space="0" w:color="auto"/>
          </w:divBdr>
        </w:div>
        <w:div w:id="39868691">
          <w:marLeft w:val="907"/>
          <w:marRight w:val="0"/>
          <w:marTop w:val="0"/>
          <w:marBottom w:val="101"/>
          <w:divBdr>
            <w:top w:val="none" w:sz="0" w:space="0" w:color="auto"/>
            <w:left w:val="none" w:sz="0" w:space="0" w:color="auto"/>
            <w:bottom w:val="none" w:sz="0" w:space="0" w:color="auto"/>
            <w:right w:val="none" w:sz="0" w:space="0" w:color="auto"/>
          </w:divBdr>
        </w:div>
        <w:div w:id="1585381803">
          <w:marLeft w:val="907"/>
          <w:marRight w:val="0"/>
          <w:marTop w:val="0"/>
          <w:marBottom w:val="101"/>
          <w:divBdr>
            <w:top w:val="none" w:sz="0" w:space="0" w:color="auto"/>
            <w:left w:val="none" w:sz="0" w:space="0" w:color="auto"/>
            <w:bottom w:val="none" w:sz="0" w:space="0" w:color="auto"/>
            <w:right w:val="none" w:sz="0" w:space="0" w:color="auto"/>
          </w:divBdr>
        </w:div>
        <w:div w:id="1940017851">
          <w:marLeft w:val="907"/>
          <w:marRight w:val="0"/>
          <w:marTop w:val="0"/>
          <w:marBottom w:val="101"/>
          <w:divBdr>
            <w:top w:val="none" w:sz="0" w:space="0" w:color="auto"/>
            <w:left w:val="none" w:sz="0" w:space="0" w:color="auto"/>
            <w:bottom w:val="none" w:sz="0" w:space="0" w:color="auto"/>
            <w:right w:val="none" w:sz="0" w:space="0" w:color="auto"/>
          </w:divBdr>
        </w:div>
        <w:div w:id="1998269167">
          <w:marLeft w:val="907"/>
          <w:marRight w:val="0"/>
          <w:marTop w:val="0"/>
          <w:marBottom w:val="101"/>
          <w:divBdr>
            <w:top w:val="none" w:sz="0" w:space="0" w:color="auto"/>
            <w:left w:val="none" w:sz="0" w:space="0" w:color="auto"/>
            <w:bottom w:val="none" w:sz="0" w:space="0" w:color="auto"/>
            <w:right w:val="none" w:sz="0" w:space="0" w:color="auto"/>
          </w:divBdr>
        </w:div>
        <w:div w:id="487598226">
          <w:marLeft w:val="907"/>
          <w:marRight w:val="0"/>
          <w:marTop w:val="0"/>
          <w:marBottom w:val="101"/>
          <w:divBdr>
            <w:top w:val="none" w:sz="0" w:space="0" w:color="auto"/>
            <w:left w:val="none" w:sz="0" w:space="0" w:color="auto"/>
            <w:bottom w:val="none" w:sz="0" w:space="0" w:color="auto"/>
            <w:right w:val="none" w:sz="0" w:space="0" w:color="auto"/>
          </w:divBdr>
        </w:div>
        <w:div w:id="1839692763">
          <w:marLeft w:val="907"/>
          <w:marRight w:val="0"/>
          <w:marTop w:val="0"/>
          <w:marBottom w:val="101"/>
          <w:divBdr>
            <w:top w:val="none" w:sz="0" w:space="0" w:color="auto"/>
            <w:left w:val="none" w:sz="0" w:space="0" w:color="auto"/>
            <w:bottom w:val="none" w:sz="0" w:space="0" w:color="auto"/>
            <w:right w:val="none" w:sz="0" w:space="0" w:color="auto"/>
          </w:divBdr>
        </w:div>
        <w:div w:id="494995824">
          <w:marLeft w:val="907"/>
          <w:marRight w:val="0"/>
          <w:marTop w:val="0"/>
          <w:marBottom w:val="101"/>
          <w:divBdr>
            <w:top w:val="none" w:sz="0" w:space="0" w:color="auto"/>
            <w:left w:val="none" w:sz="0" w:space="0" w:color="auto"/>
            <w:bottom w:val="none" w:sz="0" w:space="0" w:color="auto"/>
            <w:right w:val="none" w:sz="0" w:space="0" w:color="auto"/>
          </w:divBdr>
        </w:div>
        <w:div w:id="530338901">
          <w:marLeft w:val="907"/>
          <w:marRight w:val="0"/>
          <w:marTop w:val="0"/>
          <w:marBottom w:val="101"/>
          <w:divBdr>
            <w:top w:val="none" w:sz="0" w:space="0" w:color="auto"/>
            <w:left w:val="none" w:sz="0" w:space="0" w:color="auto"/>
            <w:bottom w:val="none" w:sz="0" w:space="0" w:color="auto"/>
            <w:right w:val="none" w:sz="0" w:space="0" w:color="auto"/>
          </w:divBdr>
        </w:div>
        <w:div w:id="1810434219">
          <w:marLeft w:val="900"/>
          <w:marRight w:val="0"/>
          <w:marTop w:val="0"/>
          <w:marBottom w:val="101"/>
          <w:divBdr>
            <w:top w:val="none" w:sz="0" w:space="0" w:color="auto"/>
            <w:left w:val="none" w:sz="0" w:space="0" w:color="auto"/>
            <w:bottom w:val="none" w:sz="0" w:space="0" w:color="auto"/>
            <w:right w:val="none" w:sz="0" w:space="0" w:color="auto"/>
          </w:divBdr>
        </w:div>
        <w:div w:id="475948534">
          <w:marLeft w:val="1260"/>
          <w:marRight w:val="0"/>
          <w:marTop w:val="0"/>
          <w:marBottom w:val="101"/>
          <w:divBdr>
            <w:top w:val="none" w:sz="0" w:space="0" w:color="auto"/>
            <w:left w:val="none" w:sz="0" w:space="0" w:color="auto"/>
            <w:bottom w:val="none" w:sz="0" w:space="0" w:color="auto"/>
            <w:right w:val="none" w:sz="0" w:space="0" w:color="auto"/>
          </w:divBdr>
        </w:div>
        <w:div w:id="953900287">
          <w:marLeft w:val="1620"/>
          <w:marRight w:val="0"/>
          <w:marTop w:val="0"/>
          <w:marBottom w:val="101"/>
          <w:divBdr>
            <w:top w:val="none" w:sz="0" w:space="0" w:color="auto"/>
            <w:left w:val="none" w:sz="0" w:space="0" w:color="auto"/>
            <w:bottom w:val="none" w:sz="0" w:space="0" w:color="auto"/>
            <w:right w:val="none" w:sz="0" w:space="0" w:color="auto"/>
          </w:divBdr>
        </w:div>
        <w:div w:id="1441756044">
          <w:marLeft w:val="1620"/>
          <w:marRight w:val="0"/>
          <w:marTop w:val="0"/>
          <w:marBottom w:val="101"/>
          <w:divBdr>
            <w:top w:val="none" w:sz="0" w:space="0" w:color="auto"/>
            <w:left w:val="none" w:sz="0" w:space="0" w:color="auto"/>
            <w:bottom w:val="none" w:sz="0" w:space="0" w:color="auto"/>
            <w:right w:val="none" w:sz="0" w:space="0" w:color="auto"/>
          </w:divBdr>
        </w:div>
        <w:div w:id="1957717142">
          <w:marLeft w:val="1260"/>
          <w:marRight w:val="0"/>
          <w:marTop w:val="0"/>
          <w:marBottom w:val="101"/>
          <w:divBdr>
            <w:top w:val="none" w:sz="0" w:space="0" w:color="auto"/>
            <w:left w:val="none" w:sz="0" w:space="0" w:color="auto"/>
            <w:bottom w:val="none" w:sz="0" w:space="0" w:color="auto"/>
            <w:right w:val="none" w:sz="0" w:space="0" w:color="auto"/>
          </w:divBdr>
        </w:div>
        <w:div w:id="1833988052">
          <w:marLeft w:val="1620"/>
          <w:marRight w:val="0"/>
          <w:marTop w:val="0"/>
          <w:marBottom w:val="101"/>
          <w:divBdr>
            <w:top w:val="none" w:sz="0" w:space="0" w:color="auto"/>
            <w:left w:val="none" w:sz="0" w:space="0" w:color="auto"/>
            <w:bottom w:val="none" w:sz="0" w:space="0" w:color="auto"/>
            <w:right w:val="none" w:sz="0" w:space="0" w:color="auto"/>
          </w:divBdr>
        </w:div>
        <w:div w:id="828255384">
          <w:marLeft w:val="1620"/>
          <w:marRight w:val="0"/>
          <w:marTop w:val="0"/>
          <w:marBottom w:val="101"/>
          <w:divBdr>
            <w:top w:val="none" w:sz="0" w:space="0" w:color="auto"/>
            <w:left w:val="none" w:sz="0" w:space="0" w:color="auto"/>
            <w:bottom w:val="none" w:sz="0" w:space="0" w:color="auto"/>
            <w:right w:val="none" w:sz="0" w:space="0" w:color="auto"/>
          </w:divBdr>
        </w:div>
        <w:div w:id="1474564342">
          <w:marLeft w:val="900"/>
          <w:marRight w:val="0"/>
          <w:marTop w:val="0"/>
          <w:marBottom w:val="101"/>
          <w:divBdr>
            <w:top w:val="none" w:sz="0" w:space="0" w:color="auto"/>
            <w:left w:val="none" w:sz="0" w:space="0" w:color="auto"/>
            <w:bottom w:val="none" w:sz="0" w:space="0" w:color="auto"/>
            <w:right w:val="none" w:sz="0" w:space="0" w:color="auto"/>
          </w:divBdr>
        </w:div>
        <w:div w:id="973634586">
          <w:marLeft w:val="1260"/>
          <w:marRight w:val="0"/>
          <w:marTop w:val="0"/>
          <w:marBottom w:val="101"/>
          <w:divBdr>
            <w:top w:val="none" w:sz="0" w:space="0" w:color="auto"/>
            <w:left w:val="none" w:sz="0" w:space="0" w:color="auto"/>
            <w:bottom w:val="none" w:sz="0" w:space="0" w:color="auto"/>
            <w:right w:val="none" w:sz="0" w:space="0" w:color="auto"/>
          </w:divBdr>
        </w:div>
        <w:div w:id="571543170">
          <w:marLeft w:val="1620"/>
          <w:marRight w:val="0"/>
          <w:marTop w:val="0"/>
          <w:marBottom w:val="101"/>
          <w:divBdr>
            <w:top w:val="none" w:sz="0" w:space="0" w:color="auto"/>
            <w:left w:val="none" w:sz="0" w:space="0" w:color="auto"/>
            <w:bottom w:val="none" w:sz="0" w:space="0" w:color="auto"/>
            <w:right w:val="none" w:sz="0" w:space="0" w:color="auto"/>
          </w:divBdr>
        </w:div>
        <w:div w:id="224684057">
          <w:marLeft w:val="1620"/>
          <w:marRight w:val="0"/>
          <w:marTop w:val="0"/>
          <w:marBottom w:val="101"/>
          <w:divBdr>
            <w:top w:val="none" w:sz="0" w:space="0" w:color="auto"/>
            <w:left w:val="none" w:sz="0" w:space="0" w:color="auto"/>
            <w:bottom w:val="none" w:sz="0" w:space="0" w:color="auto"/>
            <w:right w:val="none" w:sz="0" w:space="0" w:color="auto"/>
          </w:divBdr>
        </w:div>
        <w:div w:id="968824827">
          <w:marLeft w:val="1620"/>
          <w:marRight w:val="0"/>
          <w:marTop w:val="0"/>
          <w:marBottom w:val="101"/>
          <w:divBdr>
            <w:top w:val="none" w:sz="0" w:space="0" w:color="auto"/>
            <w:left w:val="none" w:sz="0" w:space="0" w:color="auto"/>
            <w:bottom w:val="none" w:sz="0" w:space="0" w:color="auto"/>
            <w:right w:val="none" w:sz="0" w:space="0" w:color="auto"/>
          </w:divBdr>
        </w:div>
        <w:div w:id="15161572">
          <w:marLeft w:val="1260"/>
          <w:marRight w:val="0"/>
          <w:marTop w:val="0"/>
          <w:marBottom w:val="101"/>
          <w:divBdr>
            <w:top w:val="none" w:sz="0" w:space="0" w:color="auto"/>
            <w:left w:val="none" w:sz="0" w:space="0" w:color="auto"/>
            <w:bottom w:val="none" w:sz="0" w:space="0" w:color="auto"/>
            <w:right w:val="none" w:sz="0" w:space="0" w:color="auto"/>
          </w:divBdr>
        </w:div>
        <w:div w:id="1294023054">
          <w:marLeft w:val="1620"/>
          <w:marRight w:val="0"/>
          <w:marTop w:val="0"/>
          <w:marBottom w:val="101"/>
          <w:divBdr>
            <w:top w:val="none" w:sz="0" w:space="0" w:color="auto"/>
            <w:left w:val="none" w:sz="0" w:space="0" w:color="auto"/>
            <w:bottom w:val="none" w:sz="0" w:space="0" w:color="auto"/>
            <w:right w:val="none" w:sz="0" w:space="0" w:color="auto"/>
          </w:divBdr>
        </w:div>
        <w:div w:id="351028182">
          <w:marLeft w:val="1620"/>
          <w:marRight w:val="0"/>
          <w:marTop w:val="0"/>
          <w:marBottom w:val="101"/>
          <w:divBdr>
            <w:top w:val="none" w:sz="0" w:space="0" w:color="auto"/>
            <w:left w:val="none" w:sz="0" w:space="0" w:color="auto"/>
            <w:bottom w:val="none" w:sz="0" w:space="0" w:color="auto"/>
            <w:right w:val="none" w:sz="0" w:space="0" w:color="auto"/>
          </w:divBdr>
        </w:div>
        <w:div w:id="2122525457">
          <w:marLeft w:val="900"/>
          <w:marRight w:val="0"/>
          <w:marTop w:val="0"/>
          <w:marBottom w:val="101"/>
          <w:divBdr>
            <w:top w:val="none" w:sz="0" w:space="0" w:color="auto"/>
            <w:left w:val="none" w:sz="0" w:space="0" w:color="auto"/>
            <w:bottom w:val="none" w:sz="0" w:space="0" w:color="auto"/>
            <w:right w:val="none" w:sz="0" w:space="0" w:color="auto"/>
          </w:divBdr>
        </w:div>
        <w:div w:id="1235899299">
          <w:marLeft w:val="900"/>
          <w:marRight w:val="0"/>
          <w:marTop w:val="0"/>
          <w:marBottom w:val="101"/>
          <w:divBdr>
            <w:top w:val="none" w:sz="0" w:space="0" w:color="auto"/>
            <w:left w:val="none" w:sz="0" w:space="0" w:color="auto"/>
            <w:bottom w:val="none" w:sz="0" w:space="0" w:color="auto"/>
            <w:right w:val="none" w:sz="0" w:space="0" w:color="auto"/>
          </w:divBdr>
        </w:div>
        <w:div w:id="1201745195">
          <w:marLeft w:val="900"/>
          <w:marRight w:val="0"/>
          <w:marTop w:val="0"/>
          <w:marBottom w:val="101"/>
          <w:divBdr>
            <w:top w:val="none" w:sz="0" w:space="0" w:color="auto"/>
            <w:left w:val="none" w:sz="0" w:space="0" w:color="auto"/>
            <w:bottom w:val="none" w:sz="0" w:space="0" w:color="auto"/>
            <w:right w:val="none" w:sz="0" w:space="0" w:color="auto"/>
          </w:divBdr>
        </w:div>
        <w:div w:id="1765027793">
          <w:marLeft w:val="0"/>
          <w:marRight w:val="0"/>
          <w:marTop w:val="0"/>
          <w:marBottom w:val="101"/>
          <w:divBdr>
            <w:top w:val="none" w:sz="0" w:space="0" w:color="auto"/>
            <w:left w:val="none" w:sz="0" w:space="0" w:color="auto"/>
            <w:bottom w:val="single" w:sz="6" w:space="0" w:color="000000"/>
            <w:right w:val="none" w:sz="0" w:space="0" w:color="auto"/>
          </w:divBdr>
        </w:div>
        <w:div w:id="1924412838">
          <w:marLeft w:val="0"/>
          <w:marRight w:val="0"/>
          <w:marTop w:val="0"/>
          <w:marBottom w:val="101"/>
          <w:divBdr>
            <w:top w:val="none" w:sz="0" w:space="0" w:color="auto"/>
            <w:left w:val="none" w:sz="0" w:space="0" w:color="auto"/>
            <w:bottom w:val="single" w:sz="6" w:space="0" w:color="000000"/>
            <w:right w:val="none" w:sz="0" w:space="0" w:color="auto"/>
          </w:divBdr>
        </w:div>
        <w:div w:id="891039170">
          <w:marLeft w:val="0"/>
          <w:marRight w:val="0"/>
          <w:marTop w:val="0"/>
          <w:marBottom w:val="101"/>
          <w:divBdr>
            <w:top w:val="none" w:sz="0" w:space="0" w:color="auto"/>
            <w:left w:val="none" w:sz="0" w:space="0" w:color="auto"/>
            <w:bottom w:val="single" w:sz="6" w:space="0" w:color="000000"/>
            <w:right w:val="none" w:sz="0" w:space="0" w:color="auto"/>
          </w:divBdr>
        </w:div>
        <w:div w:id="1880706731">
          <w:marLeft w:val="900"/>
          <w:marRight w:val="0"/>
          <w:marTop w:val="0"/>
          <w:marBottom w:val="101"/>
          <w:divBdr>
            <w:top w:val="none" w:sz="0" w:space="0" w:color="auto"/>
            <w:left w:val="none" w:sz="0" w:space="0" w:color="auto"/>
            <w:bottom w:val="none" w:sz="0" w:space="0" w:color="auto"/>
            <w:right w:val="none" w:sz="0" w:space="0" w:color="auto"/>
          </w:divBdr>
        </w:div>
        <w:div w:id="574096604">
          <w:marLeft w:val="900"/>
          <w:marRight w:val="0"/>
          <w:marTop w:val="0"/>
          <w:marBottom w:val="101"/>
          <w:divBdr>
            <w:top w:val="none" w:sz="0" w:space="0" w:color="auto"/>
            <w:left w:val="none" w:sz="0" w:space="0" w:color="auto"/>
            <w:bottom w:val="none" w:sz="0" w:space="0" w:color="auto"/>
            <w:right w:val="none" w:sz="0" w:space="0" w:color="auto"/>
          </w:divBdr>
        </w:div>
        <w:div w:id="1887177288">
          <w:marLeft w:val="900"/>
          <w:marRight w:val="0"/>
          <w:marTop w:val="0"/>
          <w:marBottom w:val="101"/>
          <w:divBdr>
            <w:top w:val="none" w:sz="0" w:space="0" w:color="auto"/>
            <w:left w:val="none" w:sz="0" w:space="0" w:color="auto"/>
            <w:bottom w:val="none" w:sz="0" w:space="0" w:color="auto"/>
            <w:right w:val="none" w:sz="0" w:space="0" w:color="auto"/>
          </w:divBdr>
        </w:div>
        <w:div w:id="133765679">
          <w:marLeft w:val="900"/>
          <w:marRight w:val="0"/>
          <w:marTop w:val="0"/>
          <w:marBottom w:val="101"/>
          <w:divBdr>
            <w:top w:val="none" w:sz="0" w:space="0" w:color="auto"/>
            <w:left w:val="none" w:sz="0" w:space="0" w:color="auto"/>
            <w:bottom w:val="none" w:sz="0" w:space="0" w:color="auto"/>
            <w:right w:val="none" w:sz="0" w:space="0" w:color="auto"/>
          </w:divBdr>
        </w:div>
        <w:div w:id="2045520499">
          <w:marLeft w:val="900"/>
          <w:marRight w:val="0"/>
          <w:marTop w:val="0"/>
          <w:marBottom w:val="101"/>
          <w:divBdr>
            <w:top w:val="none" w:sz="0" w:space="0" w:color="auto"/>
            <w:left w:val="none" w:sz="0" w:space="0" w:color="auto"/>
            <w:bottom w:val="none" w:sz="0" w:space="0" w:color="auto"/>
            <w:right w:val="none" w:sz="0" w:space="0" w:color="auto"/>
          </w:divBdr>
        </w:div>
        <w:div w:id="113642426">
          <w:marLeft w:val="900"/>
          <w:marRight w:val="0"/>
          <w:marTop w:val="0"/>
          <w:marBottom w:val="101"/>
          <w:divBdr>
            <w:top w:val="none" w:sz="0" w:space="0" w:color="auto"/>
            <w:left w:val="none" w:sz="0" w:space="0" w:color="auto"/>
            <w:bottom w:val="none" w:sz="0" w:space="0" w:color="auto"/>
            <w:right w:val="none" w:sz="0" w:space="0" w:color="auto"/>
          </w:divBdr>
        </w:div>
        <w:div w:id="1486896432">
          <w:marLeft w:val="900"/>
          <w:marRight w:val="0"/>
          <w:marTop w:val="0"/>
          <w:marBottom w:val="101"/>
          <w:divBdr>
            <w:top w:val="none" w:sz="0" w:space="0" w:color="auto"/>
            <w:left w:val="none" w:sz="0" w:space="0" w:color="auto"/>
            <w:bottom w:val="none" w:sz="0" w:space="0" w:color="auto"/>
            <w:right w:val="none" w:sz="0" w:space="0" w:color="auto"/>
          </w:divBdr>
        </w:div>
        <w:div w:id="1768500976">
          <w:marLeft w:val="900"/>
          <w:marRight w:val="0"/>
          <w:marTop w:val="0"/>
          <w:marBottom w:val="101"/>
          <w:divBdr>
            <w:top w:val="none" w:sz="0" w:space="0" w:color="auto"/>
            <w:left w:val="none" w:sz="0" w:space="0" w:color="auto"/>
            <w:bottom w:val="none" w:sz="0" w:space="0" w:color="auto"/>
            <w:right w:val="none" w:sz="0" w:space="0" w:color="auto"/>
          </w:divBdr>
        </w:div>
        <w:div w:id="959336704">
          <w:marLeft w:val="900"/>
          <w:marRight w:val="0"/>
          <w:marTop w:val="0"/>
          <w:marBottom w:val="101"/>
          <w:divBdr>
            <w:top w:val="none" w:sz="0" w:space="0" w:color="auto"/>
            <w:left w:val="none" w:sz="0" w:space="0" w:color="auto"/>
            <w:bottom w:val="none" w:sz="0" w:space="0" w:color="auto"/>
            <w:right w:val="none" w:sz="0" w:space="0" w:color="auto"/>
          </w:divBdr>
        </w:div>
        <w:div w:id="330913726">
          <w:marLeft w:val="0"/>
          <w:marRight w:val="0"/>
          <w:marTop w:val="0"/>
          <w:marBottom w:val="101"/>
          <w:divBdr>
            <w:top w:val="none" w:sz="0" w:space="0" w:color="auto"/>
            <w:left w:val="none" w:sz="0" w:space="0" w:color="auto"/>
            <w:bottom w:val="none" w:sz="0" w:space="0" w:color="auto"/>
            <w:right w:val="none" w:sz="0" w:space="0" w:color="auto"/>
          </w:divBdr>
        </w:div>
        <w:div w:id="826633325">
          <w:marLeft w:val="0"/>
          <w:marRight w:val="0"/>
          <w:marTop w:val="0"/>
          <w:marBottom w:val="101"/>
          <w:divBdr>
            <w:top w:val="none" w:sz="0" w:space="0" w:color="auto"/>
            <w:left w:val="none" w:sz="0" w:space="0" w:color="auto"/>
            <w:bottom w:val="none" w:sz="0" w:space="0" w:color="auto"/>
            <w:right w:val="none" w:sz="0" w:space="0" w:color="auto"/>
          </w:divBdr>
        </w:div>
        <w:div w:id="951783666">
          <w:marLeft w:val="0"/>
          <w:marRight w:val="0"/>
          <w:marTop w:val="0"/>
          <w:marBottom w:val="101"/>
          <w:divBdr>
            <w:top w:val="none" w:sz="0" w:space="0" w:color="auto"/>
            <w:left w:val="none" w:sz="0" w:space="0" w:color="auto"/>
            <w:bottom w:val="single" w:sz="6" w:space="0" w:color="000000"/>
            <w:right w:val="none" w:sz="0" w:space="0" w:color="auto"/>
          </w:divBdr>
        </w:div>
        <w:div w:id="486484586">
          <w:marLeft w:val="900"/>
          <w:marRight w:val="0"/>
          <w:marTop w:val="0"/>
          <w:marBottom w:val="101"/>
          <w:divBdr>
            <w:top w:val="none" w:sz="0" w:space="0" w:color="auto"/>
            <w:left w:val="none" w:sz="0" w:space="0" w:color="auto"/>
            <w:bottom w:val="none" w:sz="0" w:space="0" w:color="auto"/>
            <w:right w:val="none" w:sz="0" w:space="0" w:color="auto"/>
          </w:divBdr>
        </w:div>
        <w:div w:id="940186405">
          <w:marLeft w:val="1260"/>
          <w:marRight w:val="0"/>
          <w:marTop w:val="0"/>
          <w:marBottom w:val="101"/>
          <w:divBdr>
            <w:top w:val="none" w:sz="0" w:space="0" w:color="auto"/>
            <w:left w:val="none" w:sz="0" w:space="0" w:color="auto"/>
            <w:bottom w:val="none" w:sz="0" w:space="0" w:color="auto"/>
            <w:right w:val="none" w:sz="0" w:space="0" w:color="auto"/>
          </w:divBdr>
        </w:div>
        <w:div w:id="1783500997">
          <w:marLeft w:val="1260"/>
          <w:marRight w:val="0"/>
          <w:marTop w:val="0"/>
          <w:marBottom w:val="101"/>
          <w:divBdr>
            <w:top w:val="none" w:sz="0" w:space="0" w:color="auto"/>
            <w:left w:val="none" w:sz="0" w:space="0" w:color="auto"/>
            <w:bottom w:val="none" w:sz="0" w:space="0" w:color="auto"/>
            <w:right w:val="none" w:sz="0" w:space="0" w:color="auto"/>
          </w:divBdr>
        </w:div>
        <w:div w:id="1861550668">
          <w:marLeft w:val="1260"/>
          <w:marRight w:val="0"/>
          <w:marTop w:val="0"/>
          <w:marBottom w:val="101"/>
          <w:divBdr>
            <w:top w:val="none" w:sz="0" w:space="0" w:color="auto"/>
            <w:left w:val="none" w:sz="0" w:space="0" w:color="auto"/>
            <w:bottom w:val="none" w:sz="0" w:space="0" w:color="auto"/>
            <w:right w:val="none" w:sz="0" w:space="0" w:color="auto"/>
          </w:divBdr>
        </w:div>
        <w:div w:id="574439626">
          <w:marLeft w:val="1260"/>
          <w:marRight w:val="0"/>
          <w:marTop w:val="0"/>
          <w:marBottom w:val="101"/>
          <w:divBdr>
            <w:top w:val="none" w:sz="0" w:space="0" w:color="auto"/>
            <w:left w:val="none" w:sz="0" w:space="0" w:color="auto"/>
            <w:bottom w:val="none" w:sz="0" w:space="0" w:color="auto"/>
            <w:right w:val="none" w:sz="0" w:space="0" w:color="auto"/>
          </w:divBdr>
        </w:div>
        <w:div w:id="251552020">
          <w:marLeft w:val="0"/>
          <w:marRight w:val="0"/>
          <w:marTop w:val="0"/>
          <w:marBottom w:val="101"/>
          <w:divBdr>
            <w:top w:val="none" w:sz="0" w:space="0" w:color="auto"/>
            <w:left w:val="none" w:sz="0" w:space="0" w:color="auto"/>
            <w:bottom w:val="single" w:sz="6" w:space="0" w:color="000000"/>
            <w:right w:val="none" w:sz="0" w:space="0" w:color="auto"/>
          </w:divBdr>
        </w:div>
        <w:div w:id="1869247378">
          <w:marLeft w:val="900"/>
          <w:marRight w:val="0"/>
          <w:marTop w:val="0"/>
          <w:marBottom w:val="101"/>
          <w:divBdr>
            <w:top w:val="none" w:sz="0" w:space="0" w:color="auto"/>
            <w:left w:val="none" w:sz="0" w:space="0" w:color="auto"/>
            <w:bottom w:val="none" w:sz="0" w:space="0" w:color="auto"/>
            <w:right w:val="none" w:sz="0" w:space="0" w:color="auto"/>
          </w:divBdr>
        </w:div>
        <w:div w:id="1123964441">
          <w:marLeft w:val="900"/>
          <w:marRight w:val="0"/>
          <w:marTop w:val="0"/>
          <w:marBottom w:val="101"/>
          <w:divBdr>
            <w:top w:val="none" w:sz="0" w:space="0" w:color="auto"/>
            <w:left w:val="none" w:sz="0" w:space="0" w:color="auto"/>
            <w:bottom w:val="none" w:sz="0" w:space="0" w:color="auto"/>
            <w:right w:val="none" w:sz="0" w:space="0" w:color="auto"/>
          </w:divBdr>
        </w:div>
        <w:div w:id="288172252">
          <w:marLeft w:val="900"/>
          <w:marRight w:val="0"/>
          <w:marTop w:val="0"/>
          <w:marBottom w:val="101"/>
          <w:divBdr>
            <w:top w:val="none" w:sz="0" w:space="0" w:color="auto"/>
            <w:left w:val="none" w:sz="0" w:space="0" w:color="auto"/>
            <w:bottom w:val="none" w:sz="0" w:space="0" w:color="auto"/>
            <w:right w:val="none" w:sz="0" w:space="0" w:color="auto"/>
          </w:divBdr>
        </w:div>
        <w:div w:id="89008661">
          <w:marLeft w:val="900"/>
          <w:marRight w:val="0"/>
          <w:marTop w:val="0"/>
          <w:marBottom w:val="101"/>
          <w:divBdr>
            <w:top w:val="none" w:sz="0" w:space="0" w:color="auto"/>
            <w:left w:val="none" w:sz="0" w:space="0" w:color="auto"/>
            <w:bottom w:val="none" w:sz="0" w:space="0" w:color="auto"/>
            <w:right w:val="none" w:sz="0" w:space="0" w:color="auto"/>
          </w:divBdr>
        </w:div>
        <w:div w:id="185094814">
          <w:marLeft w:val="900"/>
          <w:marRight w:val="0"/>
          <w:marTop w:val="0"/>
          <w:marBottom w:val="101"/>
          <w:divBdr>
            <w:top w:val="none" w:sz="0" w:space="0" w:color="auto"/>
            <w:left w:val="none" w:sz="0" w:space="0" w:color="auto"/>
            <w:bottom w:val="none" w:sz="0" w:space="0" w:color="auto"/>
            <w:right w:val="none" w:sz="0" w:space="0" w:color="auto"/>
          </w:divBdr>
        </w:div>
        <w:div w:id="345059031">
          <w:marLeft w:val="0"/>
          <w:marRight w:val="0"/>
          <w:marTop w:val="0"/>
          <w:marBottom w:val="101"/>
          <w:divBdr>
            <w:top w:val="none" w:sz="0" w:space="0" w:color="auto"/>
            <w:left w:val="none" w:sz="0" w:space="0" w:color="auto"/>
            <w:bottom w:val="none" w:sz="0" w:space="0" w:color="auto"/>
            <w:right w:val="none" w:sz="0" w:space="0" w:color="auto"/>
          </w:divBdr>
        </w:div>
        <w:div w:id="23947450">
          <w:marLeft w:val="0"/>
          <w:marRight w:val="0"/>
          <w:marTop w:val="0"/>
          <w:marBottom w:val="101"/>
          <w:divBdr>
            <w:top w:val="none" w:sz="0" w:space="0" w:color="auto"/>
            <w:left w:val="none" w:sz="0" w:space="0" w:color="auto"/>
            <w:bottom w:val="none" w:sz="0" w:space="0" w:color="auto"/>
            <w:right w:val="none" w:sz="0" w:space="0" w:color="auto"/>
          </w:divBdr>
        </w:div>
        <w:div w:id="1448626019">
          <w:marLeft w:val="0"/>
          <w:marRight w:val="0"/>
          <w:marTop w:val="0"/>
          <w:marBottom w:val="101"/>
          <w:divBdr>
            <w:top w:val="none" w:sz="0" w:space="0" w:color="auto"/>
            <w:left w:val="none" w:sz="0" w:space="0" w:color="auto"/>
            <w:bottom w:val="none" w:sz="0" w:space="0" w:color="auto"/>
            <w:right w:val="none" w:sz="0" w:space="0" w:color="auto"/>
          </w:divBdr>
        </w:div>
        <w:div w:id="1281256035">
          <w:marLeft w:val="0"/>
          <w:marRight w:val="0"/>
          <w:marTop w:val="0"/>
          <w:marBottom w:val="101"/>
          <w:divBdr>
            <w:top w:val="none" w:sz="0" w:space="0" w:color="auto"/>
            <w:left w:val="none" w:sz="0" w:space="0" w:color="auto"/>
            <w:bottom w:val="none" w:sz="0" w:space="0" w:color="auto"/>
            <w:right w:val="none" w:sz="0" w:space="0" w:color="auto"/>
          </w:divBdr>
        </w:div>
        <w:div w:id="125322584">
          <w:marLeft w:val="0"/>
          <w:marRight w:val="0"/>
          <w:marTop w:val="0"/>
          <w:marBottom w:val="101"/>
          <w:divBdr>
            <w:top w:val="none" w:sz="0" w:space="0" w:color="auto"/>
            <w:left w:val="none" w:sz="0" w:space="0" w:color="auto"/>
            <w:bottom w:val="none" w:sz="0" w:space="0" w:color="auto"/>
            <w:right w:val="none" w:sz="0" w:space="0" w:color="auto"/>
          </w:divBdr>
        </w:div>
        <w:div w:id="1347707854">
          <w:marLeft w:val="0"/>
          <w:marRight w:val="0"/>
          <w:marTop w:val="0"/>
          <w:marBottom w:val="101"/>
          <w:divBdr>
            <w:top w:val="none" w:sz="0" w:space="0" w:color="auto"/>
            <w:left w:val="none" w:sz="0" w:space="0" w:color="auto"/>
            <w:bottom w:val="single" w:sz="6" w:space="0" w:color="000000"/>
            <w:right w:val="none" w:sz="0" w:space="0" w:color="auto"/>
          </w:divBdr>
        </w:div>
        <w:div w:id="213928853">
          <w:marLeft w:val="0"/>
          <w:marRight w:val="0"/>
          <w:marTop w:val="0"/>
          <w:marBottom w:val="101"/>
          <w:divBdr>
            <w:top w:val="none" w:sz="0" w:space="0" w:color="auto"/>
            <w:left w:val="none" w:sz="0" w:space="0" w:color="auto"/>
            <w:bottom w:val="none" w:sz="0" w:space="0" w:color="auto"/>
            <w:right w:val="none" w:sz="0" w:space="0" w:color="auto"/>
          </w:divBdr>
        </w:div>
        <w:div w:id="725373659">
          <w:marLeft w:val="0"/>
          <w:marRight w:val="0"/>
          <w:marTop w:val="0"/>
          <w:marBottom w:val="101"/>
          <w:divBdr>
            <w:top w:val="none" w:sz="0" w:space="0" w:color="auto"/>
            <w:left w:val="none" w:sz="0" w:space="0" w:color="auto"/>
            <w:bottom w:val="none" w:sz="0" w:space="0" w:color="auto"/>
            <w:right w:val="none" w:sz="0" w:space="0" w:color="auto"/>
          </w:divBdr>
        </w:div>
        <w:div w:id="947199244">
          <w:marLeft w:val="0"/>
          <w:marRight w:val="0"/>
          <w:marTop w:val="0"/>
          <w:marBottom w:val="101"/>
          <w:divBdr>
            <w:top w:val="none" w:sz="0" w:space="0" w:color="auto"/>
            <w:left w:val="none" w:sz="0" w:space="0" w:color="auto"/>
            <w:bottom w:val="none" w:sz="0" w:space="0" w:color="auto"/>
            <w:right w:val="none" w:sz="0" w:space="0" w:color="auto"/>
          </w:divBdr>
        </w:div>
        <w:div w:id="1699426748">
          <w:marLeft w:val="0"/>
          <w:marRight w:val="0"/>
          <w:marTop w:val="0"/>
          <w:marBottom w:val="101"/>
          <w:divBdr>
            <w:top w:val="none" w:sz="0" w:space="0" w:color="auto"/>
            <w:left w:val="none" w:sz="0" w:space="0" w:color="auto"/>
            <w:bottom w:val="none" w:sz="0" w:space="0" w:color="auto"/>
            <w:right w:val="none" w:sz="0" w:space="0" w:color="auto"/>
          </w:divBdr>
        </w:div>
        <w:div w:id="165176121">
          <w:marLeft w:val="0"/>
          <w:marRight w:val="0"/>
          <w:marTop w:val="0"/>
          <w:marBottom w:val="101"/>
          <w:divBdr>
            <w:top w:val="none" w:sz="0" w:space="0" w:color="auto"/>
            <w:left w:val="none" w:sz="0" w:space="0" w:color="auto"/>
            <w:bottom w:val="none" w:sz="0" w:space="0" w:color="auto"/>
            <w:right w:val="none" w:sz="0" w:space="0" w:color="auto"/>
          </w:divBdr>
        </w:div>
        <w:div w:id="909078509">
          <w:marLeft w:val="720"/>
          <w:marRight w:val="0"/>
          <w:marTop w:val="0"/>
          <w:marBottom w:val="101"/>
          <w:divBdr>
            <w:top w:val="none" w:sz="0" w:space="0" w:color="auto"/>
            <w:left w:val="none" w:sz="0" w:space="0" w:color="auto"/>
            <w:bottom w:val="none" w:sz="0" w:space="0" w:color="auto"/>
            <w:right w:val="none" w:sz="0" w:space="0" w:color="auto"/>
          </w:divBdr>
        </w:div>
        <w:div w:id="17776738">
          <w:marLeft w:val="720"/>
          <w:marRight w:val="0"/>
          <w:marTop w:val="0"/>
          <w:marBottom w:val="101"/>
          <w:divBdr>
            <w:top w:val="none" w:sz="0" w:space="0" w:color="auto"/>
            <w:left w:val="none" w:sz="0" w:space="0" w:color="auto"/>
            <w:bottom w:val="none" w:sz="0" w:space="0" w:color="auto"/>
            <w:right w:val="none" w:sz="0" w:space="0" w:color="auto"/>
          </w:divBdr>
        </w:div>
        <w:div w:id="236214378">
          <w:marLeft w:val="720"/>
          <w:marRight w:val="0"/>
          <w:marTop w:val="0"/>
          <w:marBottom w:val="101"/>
          <w:divBdr>
            <w:top w:val="none" w:sz="0" w:space="0" w:color="auto"/>
            <w:left w:val="none" w:sz="0" w:space="0" w:color="auto"/>
            <w:bottom w:val="none" w:sz="0" w:space="0" w:color="auto"/>
            <w:right w:val="none" w:sz="0" w:space="0" w:color="auto"/>
          </w:divBdr>
        </w:div>
        <w:div w:id="5451308">
          <w:marLeft w:val="0"/>
          <w:marRight w:val="0"/>
          <w:marTop w:val="0"/>
          <w:marBottom w:val="101"/>
          <w:divBdr>
            <w:top w:val="none" w:sz="0" w:space="0" w:color="auto"/>
            <w:left w:val="none" w:sz="0" w:space="0" w:color="auto"/>
            <w:bottom w:val="none" w:sz="0" w:space="0" w:color="auto"/>
            <w:right w:val="none" w:sz="0" w:space="0" w:color="auto"/>
          </w:divBdr>
        </w:div>
        <w:div w:id="1405955497">
          <w:marLeft w:val="0"/>
          <w:marRight w:val="0"/>
          <w:marTop w:val="0"/>
          <w:marBottom w:val="101"/>
          <w:divBdr>
            <w:top w:val="none" w:sz="0" w:space="0" w:color="auto"/>
            <w:left w:val="none" w:sz="0" w:space="0" w:color="auto"/>
            <w:bottom w:val="none" w:sz="0" w:space="0" w:color="auto"/>
            <w:right w:val="none" w:sz="0" w:space="0" w:color="auto"/>
          </w:divBdr>
        </w:div>
        <w:div w:id="1120689788">
          <w:marLeft w:val="0"/>
          <w:marRight w:val="0"/>
          <w:marTop w:val="0"/>
          <w:marBottom w:val="101"/>
          <w:divBdr>
            <w:top w:val="none" w:sz="0" w:space="0" w:color="auto"/>
            <w:left w:val="none" w:sz="0" w:space="0" w:color="auto"/>
            <w:bottom w:val="none" w:sz="0" w:space="0" w:color="auto"/>
            <w:right w:val="none" w:sz="0" w:space="0" w:color="auto"/>
          </w:divBdr>
        </w:div>
        <w:div w:id="1321036770">
          <w:marLeft w:val="0"/>
          <w:marRight w:val="0"/>
          <w:marTop w:val="0"/>
          <w:marBottom w:val="101"/>
          <w:divBdr>
            <w:top w:val="none" w:sz="0" w:space="0" w:color="auto"/>
            <w:left w:val="none" w:sz="0" w:space="0" w:color="auto"/>
            <w:bottom w:val="none" w:sz="0" w:space="0" w:color="auto"/>
            <w:right w:val="none" w:sz="0" w:space="0" w:color="auto"/>
          </w:divBdr>
        </w:div>
        <w:div w:id="1530801329">
          <w:marLeft w:val="0"/>
          <w:marRight w:val="0"/>
          <w:marTop w:val="0"/>
          <w:marBottom w:val="101"/>
          <w:divBdr>
            <w:top w:val="none" w:sz="0" w:space="0" w:color="auto"/>
            <w:left w:val="none" w:sz="0" w:space="0" w:color="auto"/>
            <w:bottom w:val="none" w:sz="0" w:space="0" w:color="auto"/>
            <w:right w:val="none" w:sz="0" w:space="0" w:color="auto"/>
          </w:divBdr>
        </w:div>
        <w:div w:id="541403258">
          <w:marLeft w:val="720"/>
          <w:marRight w:val="0"/>
          <w:marTop w:val="0"/>
          <w:marBottom w:val="101"/>
          <w:divBdr>
            <w:top w:val="none" w:sz="0" w:space="0" w:color="auto"/>
            <w:left w:val="none" w:sz="0" w:space="0" w:color="auto"/>
            <w:bottom w:val="none" w:sz="0" w:space="0" w:color="auto"/>
            <w:right w:val="none" w:sz="0" w:space="0" w:color="auto"/>
          </w:divBdr>
        </w:div>
        <w:div w:id="1584755615">
          <w:marLeft w:val="720"/>
          <w:marRight w:val="0"/>
          <w:marTop w:val="0"/>
          <w:marBottom w:val="101"/>
          <w:divBdr>
            <w:top w:val="none" w:sz="0" w:space="0" w:color="auto"/>
            <w:left w:val="none" w:sz="0" w:space="0" w:color="auto"/>
            <w:bottom w:val="none" w:sz="0" w:space="0" w:color="auto"/>
            <w:right w:val="none" w:sz="0" w:space="0" w:color="auto"/>
          </w:divBdr>
        </w:div>
        <w:div w:id="893658484">
          <w:marLeft w:val="720"/>
          <w:marRight w:val="0"/>
          <w:marTop w:val="0"/>
          <w:marBottom w:val="101"/>
          <w:divBdr>
            <w:top w:val="none" w:sz="0" w:space="0" w:color="auto"/>
            <w:left w:val="none" w:sz="0" w:space="0" w:color="auto"/>
            <w:bottom w:val="none" w:sz="0" w:space="0" w:color="auto"/>
            <w:right w:val="none" w:sz="0" w:space="0" w:color="auto"/>
          </w:divBdr>
        </w:div>
        <w:div w:id="1858958431">
          <w:marLeft w:val="0"/>
          <w:marRight w:val="0"/>
          <w:marTop w:val="0"/>
          <w:marBottom w:val="101"/>
          <w:divBdr>
            <w:top w:val="none" w:sz="0" w:space="0" w:color="auto"/>
            <w:left w:val="none" w:sz="0" w:space="0" w:color="auto"/>
            <w:bottom w:val="none" w:sz="0" w:space="0" w:color="auto"/>
            <w:right w:val="none" w:sz="0" w:space="0" w:color="auto"/>
          </w:divBdr>
        </w:div>
        <w:div w:id="2108235134">
          <w:marLeft w:val="0"/>
          <w:marRight w:val="0"/>
          <w:marTop w:val="0"/>
          <w:marBottom w:val="101"/>
          <w:divBdr>
            <w:top w:val="none" w:sz="0" w:space="0" w:color="auto"/>
            <w:left w:val="none" w:sz="0" w:space="0" w:color="auto"/>
            <w:bottom w:val="none" w:sz="0" w:space="0" w:color="auto"/>
            <w:right w:val="none" w:sz="0" w:space="0" w:color="auto"/>
          </w:divBdr>
        </w:div>
        <w:div w:id="2628678">
          <w:marLeft w:val="720"/>
          <w:marRight w:val="0"/>
          <w:marTop w:val="0"/>
          <w:marBottom w:val="101"/>
          <w:divBdr>
            <w:top w:val="none" w:sz="0" w:space="0" w:color="auto"/>
            <w:left w:val="none" w:sz="0" w:space="0" w:color="auto"/>
            <w:bottom w:val="none" w:sz="0" w:space="0" w:color="auto"/>
            <w:right w:val="none" w:sz="0" w:space="0" w:color="auto"/>
          </w:divBdr>
        </w:div>
        <w:div w:id="1252469262">
          <w:marLeft w:val="0"/>
          <w:marRight w:val="0"/>
          <w:marTop w:val="0"/>
          <w:marBottom w:val="101"/>
          <w:divBdr>
            <w:top w:val="none" w:sz="0" w:space="0" w:color="auto"/>
            <w:left w:val="none" w:sz="0" w:space="0" w:color="auto"/>
            <w:bottom w:val="none" w:sz="0" w:space="0" w:color="auto"/>
            <w:right w:val="none" w:sz="0" w:space="0" w:color="auto"/>
          </w:divBdr>
        </w:div>
        <w:div w:id="1899395787">
          <w:marLeft w:val="0"/>
          <w:marRight w:val="0"/>
          <w:marTop w:val="0"/>
          <w:marBottom w:val="101"/>
          <w:divBdr>
            <w:top w:val="none" w:sz="0" w:space="0" w:color="auto"/>
            <w:left w:val="none" w:sz="0" w:space="0" w:color="auto"/>
            <w:bottom w:val="none" w:sz="0" w:space="0" w:color="auto"/>
            <w:right w:val="none" w:sz="0" w:space="0" w:color="auto"/>
          </w:divBdr>
        </w:div>
        <w:div w:id="1607420387">
          <w:marLeft w:val="0"/>
          <w:marRight w:val="0"/>
          <w:marTop w:val="0"/>
          <w:marBottom w:val="101"/>
          <w:divBdr>
            <w:top w:val="none" w:sz="0" w:space="0" w:color="auto"/>
            <w:left w:val="none" w:sz="0" w:space="0" w:color="auto"/>
            <w:bottom w:val="none" w:sz="0" w:space="0" w:color="auto"/>
            <w:right w:val="none" w:sz="0" w:space="0" w:color="auto"/>
          </w:divBdr>
        </w:div>
        <w:div w:id="749884422">
          <w:marLeft w:val="0"/>
          <w:marRight w:val="0"/>
          <w:marTop w:val="0"/>
          <w:marBottom w:val="101"/>
          <w:divBdr>
            <w:top w:val="none" w:sz="0" w:space="0" w:color="auto"/>
            <w:left w:val="none" w:sz="0" w:space="0" w:color="auto"/>
            <w:bottom w:val="none" w:sz="0" w:space="0" w:color="auto"/>
            <w:right w:val="none" w:sz="0" w:space="0" w:color="auto"/>
          </w:divBdr>
        </w:div>
        <w:div w:id="261423981">
          <w:marLeft w:val="0"/>
          <w:marRight w:val="0"/>
          <w:marTop w:val="0"/>
          <w:marBottom w:val="101"/>
          <w:divBdr>
            <w:top w:val="none" w:sz="0" w:space="0" w:color="auto"/>
            <w:left w:val="none" w:sz="0" w:space="0" w:color="auto"/>
            <w:bottom w:val="none" w:sz="0" w:space="0" w:color="auto"/>
            <w:right w:val="none" w:sz="0" w:space="0" w:color="auto"/>
          </w:divBdr>
        </w:div>
        <w:div w:id="2021202931">
          <w:marLeft w:val="720"/>
          <w:marRight w:val="0"/>
          <w:marTop w:val="0"/>
          <w:marBottom w:val="101"/>
          <w:divBdr>
            <w:top w:val="none" w:sz="0" w:space="0" w:color="auto"/>
            <w:left w:val="none" w:sz="0" w:space="0" w:color="auto"/>
            <w:bottom w:val="none" w:sz="0" w:space="0" w:color="auto"/>
            <w:right w:val="none" w:sz="0" w:space="0" w:color="auto"/>
          </w:divBdr>
        </w:div>
        <w:div w:id="1439177458">
          <w:marLeft w:val="720"/>
          <w:marRight w:val="0"/>
          <w:marTop w:val="0"/>
          <w:marBottom w:val="101"/>
          <w:divBdr>
            <w:top w:val="none" w:sz="0" w:space="0" w:color="auto"/>
            <w:left w:val="none" w:sz="0" w:space="0" w:color="auto"/>
            <w:bottom w:val="none" w:sz="0" w:space="0" w:color="auto"/>
            <w:right w:val="none" w:sz="0" w:space="0" w:color="auto"/>
          </w:divBdr>
        </w:div>
        <w:div w:id="1083066210">
          <w:marLeft w:val="0"/>
          <w:marRight w:val="0"/>
          <w:marTop w:val="0"/>
          <w:marBottom w:val="101"/>
          <w:divBdr>
            <w:top w:val="none" w:sz="0" w:space="0" w:color="auto"/>
            <w:left w:val="none" w:sz="0" w:space="0" w:color="auto"/>
            <w:bottom w:val="none" w:sz="0" w:space="0" w:color="auto"/>
            <w:right w:val="none" w:sz="0" w:space="0" w:color="auto"/>
          </w:divBdr>
        </w:div>
        <w:div w:id="598756257">
          <w:marLeft w:val="0"/>
          <w:marRight w:val="0"/>
          <w:marTop w:val="0"/>
          <w:marBottom w:val="101"/>
          <w:divBdr>
            <w:top w:val="none" w:sz="0" w:space="0" w:color="auto"/>
            <w:left w:val="none" w:sz="0" w:space="0" w:color="auto"/>
            <w:bottom w:val="none" w:sz="0" w:space="0" w:color="auto"/>
            <w:right w:val="none" w:sz="0" w:space="0" w:color="auto"/>
          </w:divBdr>
        </w:div>
        <w:div w:id="42294796">
          <w:marLeft w:val="0"/>
          <w:marRight w:val="0"/>
          <w:marTop w:val="0"/>
          <w:marBottom w:val="101"/>
          <w:divBdr>
            <w:top w:val="none" w:sz="0" w:space="0" w:color="auto"/>
            <w:left w:val="none" w:sz="0" w:space="0" w:color="auto"/>
            <w:bottom w:val="none" w:sz="0" w:space="0" w:color="auto"/>
            <w:right w:val="none" w:sz="0" w:space="0" w:color="auto"/>
          </w:divBdr>
        </w:div>
        <w:div w:id="356347178">
          <w:marLeft w:val="0"/>
          <w:marRight w:val="0"/>
          <w:marTop w:val="0"/>
          <w:marBottom w:val="101"/>
          <w:divBdr>
            <w:top w:val="none" w:sz="0" w:space="0" w:color="auto"/>
            <w:left w:val="none" w:sz="0" w:space="0" w:color="auto"/>
            <w:bottom w:val="none" w:sz="0" w:space="0" w:color="auto"/>
            <w:right w:val="none" w:sz="0" w:space="0" w:color="auto"/>
          </w:divBdr>
        </w:div>
        <w:div w:id="2119981725">
          <w:marLeft w:val="0"/>
          <w:marRight w:val="0"/>
          <w:marTop w:val="0"/>
          <w:marBottom w:val="101"/>
          <w:divBdr>
            <w:top w:val="none" w:sz="0" w:space="0" w:color="auto"/>
            <w:left w:val="none" w:sz="0" w:space="0" w:color="auto"/>
            <w:bottom w:val="none" w:sz="0" w:space="0" w:color="auto"/>
            <w:right w:val="none" w:sz="0" w:space="0" w:color="auto"/>
          </w:divBdr>
        </w:div>
        <w:div w:id="1725637862">
          <w:marLeft w:val="0"/>
          <w:marRight w:val="0"/>
          <w:marTop w:val="0"/>
          <w:marBottom w:val="101"/>
          <w:divBdr>
            <w:top w:val="none" w:sz="0" w:space="0" w:color="auto"/>
            <w:left w:val="none" w:sz="0" w:space="0" w:color="auto"/>
            <w:bottom w:val="none" w:sz="0" w:space="0" w:color="auto"/>
            <w:right w:val="none" w:sz="0" w:space="0" w:color="auto"/>
          </w:divBdr>
        </w:div>
        <w:div w:id="198979909">
          <w:marLeft w:val="0"/>
          <w:marRight w:val="0"/>
          <w:marTop w:val="0"/>
          <w:marBottom w:val="101"/>
          <w:divBdr>
            <w:top w:val="none" w:sz="0" w:space="0" w:color="auto"/>
            <w:left w:val="none" w:sz="0" w:space="0" w:color="auto"/>
            <w:bottom w:val="none" w:sz="0" w:space="0" w:color="auto"/>
            <w:right w:val="none" w:sz="0" w:space="0" w:color="auto"/>
          </w:divBdr>
        </w:div>
      </w:divsChild>
    </w:div>
    <w:div w:id="1420716994">
      <w:bodyDiv w:val="1"/>
      <w:marLeft w:val="0"/>
      <w:marRight w:val="0"/>
      <w:marTop w:val="0"/>
      <w:marBottom w:val="0"/>
      <w:divBdr>
        <w:top w:val="none" w:sz="0" w:space="0" w:color="auto"/>
        <w:left w:val="none" w:sz="0" w:space="0" w:color="auto"/>
        <w:bottom w:val="none" w:sz="0" w:space="0" w:color="auto"/>
        <w:right w:val="none" w:sz="0" w:space="0" w:color="auto"/>
      </w:divBdr>
      <w:divsChild>
        <w:div w:id="2110420851">
          <w:marLeft w:val="0"/>
          <w:marRight w:val="0"/>
          <w:marTop w:val="0"/>
          <w:marBottom w:val="101"/>
          <w:divBdr>
            <w:top w:val="none" w:sz="0" w:space="0" w:color="auto"/>
            <w:left w:val="none" w:sz="0" w:space="0" w:color="auto"/>
            <w:bottom w:val="none" w:sz="0" w:space="0" w:color="auto"/>
            <w:right w:val="none" w:sz="0" w:space="0" w:color="auto"/>
          </w:divBdr>
        </w:div>
        <w:div w:id="610940188">
          <w:marLeft w:val="0"/>
          <w:marRight w:val="0"/>
          <w:marTop w:val="101"/>
          <w:marBottom w:val="101"/>
          <w:divBdr>
            <w:top w:val="none" w:sz="0" w:space="0" w:color="auto"/>
            <w:left w:val="none" w:sz="0" w:space="0" w:color="auto"/>
            <w:bottom w:val="none" w:sz="0" w:space="0" w:color="auto"/>
            <w:right w:val="none" w:sz="0" w:space="0" w:color="auto"/>
          </w:divBdr>
        </w:div>
        <w:div w:id="385302705">
          <w:marLeft w:val="0"/>
          <w:marRight w:val="0"/>
          <w:marTop w:val="0"/>
          <w:marBottom w:val="101"/>
          <w:divBdr>
            <w:top w:val="none" w:sz="0" w:space="0" w:color="auto"/>
            <w:left w:val="none" w:sz="0" w:space="0" w:color="auto"/>
            <w:bottom w:val="none" w:sz="0" w:space="0" w:color="auto"/>
            <w:right w:val="none" w:sz="0" w:space="0" w:color="auto"/>
          </w:divBdr>
        </w:div>
        <w:div w:id="1533305361">
          <w:marLeft w:val="0"/>
          <w:marRight w:val="0"/>
          <w:marTop w:val="0"/>
          <w:marBottom w:val="101"/>
          <w:divBdr>
            <w:top w:val="none" w:sz="0" w:space="0" w:color="auto"/>
            <w:left w:val="none" w:sz="0" w:space="0" w:color="auto"/>
            <w:bottom w:val="none" w:sz="0" w:space="0" w:color="auto"/>
            <w:right w:val="none" w:sz="0" w:space="0" w:color="auto"/>
          </w:divBdr>
        </w:div>
        <w:div w:id="1204555652">
          <w:marLeft w:val="0"/>
          <w:marRight w:val="0"/>
          <w:marTop w:val="0"/>
          <w:marBottom w:val="101"/>
          <w:divBdr>
            <w:top w:val="none" w:sz="0" w:space="0" w:color="auto"/>
            <w:left w:val="none" w:sz="0" w:space="0" w:color="auto"/>
            <w:bottom w:val="none" w:sz="0" w:space="0" w:color="auto"/>
            <w:right w:val="none" w:sz="0" w:space="0" w:color="auto"/>
          </w:divBdr>
        </w:div>
        <w:div w:id="1161654885">
          <w:marLeft w:val="0"/>
          <w:marRight w:val="0"/>
          <w:marTop w:val="0"/>
          <w:marBottom w:val="101"/>
          <w:divBdr>
            <w:top w:val="none" w:sz="0" w:space="0" w:color="auto"/>
            <w:left w:val="none" w:sz="0" w:space="0" w:color="auto"/>
            <w:bottom w:val="none" w:sz="0" w:space="0" w:color="auto"/>
            <w:right w:val="none" w:sz="0" w:space="0" w:color="auto"/>
          </w:divBdr>
        </w:div>
        <w:div w:id="616447402">
          <w:marLeft w:val="0"/>
          <w:marRight w:val="0"/>
          <w:marTop w:val="0"/>
          <w:marBottom w:val="101"/>
          <w:divBdr>
            <w:top w:val="none" w:sz="0" w:space="0" w:color="auto"/>
            <w:left w:val="none" w:sz="0" w:space="0" w:color="auto"/>
            <w:bottom w:val="none" w:sz="0" w:space="0" w:color="auto"/>
            <w:right w:val="none" w:sz="0" w:space="0" w:color="auto"/>
          </w:divBdr>
        </w:div>
        <w:div w:id="928540100">
          <w:marLeft w:val="0"/>
          <w:marRight w:val="0"/>
          <w:marTop w:val="0"/>
          <w:marBottom w:val="101"/>
          <w:divBdr>
            <w:top w:val="none" w:sz="0" w:space="0" w:color="auto"/>
            <w:left w:val="none" w:sz="0" w:space="0" w:color="auto"/>
            <w:bottom w:val="none" w:sz="0" w:space="0" w:color="auto"/>
            <w:right w:val="none" w:sz="0" w:space="0" w:color="auto"/>
          </w:divBdr>
        </w:div>
        <w:div w:id="617418105">
          <w:marLeft w:val="0"/>
          <w:marRight w:val="0"/>
          <w:marTop w:val="0"/>
          <w:marBottom w:val="101"/>
          <w:divBdr>
            <w:top w:val="none" w:sz="0" w:space="0" w:color="auto"/>
            <w:left w:val="none" w:sz="0" w:space="0" w:color="auto"/>
            <w:bottom w:val="none" w:sz="0" w:space="0" w:color="auto"/>
            <w:right w:val="none" w:sz="0" w:space="0" w:color="auto"/>
          </w:divBdr>
        </w:div>
        <w:div w:id="1416587970">
          <w:marLeft w:val="0"/>
          <w:marRight w:val="0"/>
          <w:marTop w:val="101"/>
          <w:marBottom w:val="101"/>
          <w:divBdr>
            <w:top w:val="none" w:sz="0" w:space="0" w:color="auto"/>
            <w:left w:val="none" w:sz="0" w:space="0" w:color="auto"/>
            <w:bottom w:val="none" w:sz="0" w:space="0" w:color="auto"/>
            <w:right w:val="none" w:sz="0" w:space="0" w:color="auto"/>
          </w:divBdr>
        </w:div>
        <w:div w:id="994140223">
          <w:marLeft w:val="0"/>
          <w:marRight w:val="0"/>
          <w:marTop w:val="0"/>
          <w:marBottom w:val="101"/>
          <w:divBdr>
            <w:top w:val="none" w:sz="0" w:space="0" w:color="auto"/>
            <w:left w:val="none" w:sz="0" w:space="0" w:color="auto"/>
            <w:bottom w:val="none" w:sz="0" w:space="0" w:color="auto"/>
            <w:right w:val="none" w:sz="0" w:space="0" w:color="auto"/>
          </w:divBdr>
        </w:div>
        <w:div w:id="2096514056">
          <w:marLeft w:val="0"/>
          <w:marRight w:val="0"/>
          <w:marTop w:val="101"/>
          <w:marBottom w:val="101"/>
          <w:divBdr>
            <w:top w:val="none" w:sz="0" w:space="0" w:color="auto"/>
            <w:left w:val="none" w:sz="0" w:space="0" w:color="auto"/>
            <w:bottom w:val="none" w:sz="0" w:space="0" w:color="auto"/>
            <w:right w:val="none" w:sz="0" w:space="0" w:color="auto"/>
          </w:divBdr>
        </w:div>
        <w:div w:id="25326894">
          <w:marLeft w:val="0"/>
          <w:marRight w:val="0"/>
          <w:marTop w:val="0"/>
          <w:marBottom w:val="101"/>
          <w:divBdr>
            <w:top w:val="none" w:sz="0" w:space="0" w:color="auto"/>
            <w:left w:val="none" w:sz="0" w:space="0" w:color="auto"/>
            <w:bottom w:val="none" w:sz="0" w:space="0" w:color="auto"/>
            <w:right w:val="none" w:sz="0" w:space="0" w:color="auto"/>
          </w:divBdr>
        </w:div>
        <w:div w:id="506141968">
          <w:marLeft w:val="0"/>
          <w:marRight w:val="0"/>
          <w:marTop w:val="0"/>
          <w:marBottom w:val="101"/>
          <w:divBdr>
            <w:top w:val="none" w:sz="0" w:space="0" w:color="auto"/>
            <w:left w:val="none" w:sz="0" w:space="0" w:color="auto"/>
            <w:bottom w:val="none" w:sz="0" w:space="0" w:color="auto"/>
            <w:right w:val="none" w:sz="0" w:space="0" w:color="auto"/>
          </w:divBdr>
        </w:div>
        <w:div w:id="138621237">
          <w:marLeft w:val="0"/>
          <w:marRight w:val="0"/>
          <w:marTop w:val="101"/>
          <w:marBottom w:val="101"/>
          <w:divBdr>
            <w:top w:val="none" w:sz="0" w:space="0" w:color="auto"/>
            <w:left w:val="none" w:sz="0" w:space="0" w:color="auto"/>
            <w:bottom w:val="none" w:sz="0" w:space="0" w:color="auto"/>
            <w:right w:val="none" w:sz="0" w:space="0" w:color="auto"/>
          </w:divBdr>
        </w:div>
        <w:div w:id="1520467191">
          <w:marLeft w:val="0"/>
          <w:marRight w:val="0"/>
          <w:marTop w:val="101"/>
          <w:marBottom w:val="101"/>
          <w:divBdr>
            <w:top w:val="none" w:sz="0" w:space="0" w:color="auto"/>
            <w:left w:val="none" w:sz="0" w:space="0" w:color="auto"/>
            <w:bottom w:val="none" w:sz="0" w:space="0" w:color="auto"/>
            <w:right w:val="none" w:sz="0" w:space="0" w:color="auto"/>
          </w:divBdr>
        </w:div>
        <w:div w:id="1317107657">
          <w:marLeft w:val="0"/>
          <w:marRight w:val="0"/>
          <w:marTop w:val="101"/>
          <w:marBottom w:val="101"/>
          <w:divBdr>
            <w:top w:val="none" w:sz="0" w:space="0" w:color="auto"/>
            <w:left w:val="none" w:sz="0" w:space="0" w:color="auto"/>
            <w:bottom w:val="none" w:sz="0" w:space="0" w:color="auto"/>
            <w:right w:val="none" w:sz="0" w:space="0" w:color="auto"/>
          </w:divBdr>
        </w:div>
        <w:div w:id="1974947235">
          <w:marLeft w:val="0"/>
          <w:marRight w:val="0"/>
          <w:marTop w:val="0"/>
          <w:marBottom w:val="101"/>
          <w:divBdr>
            <w:top w:val="none" w:sz="0" w:space="0" w:color="auto"/>
            <w:left w:val="none" w:sz="0" w:space="0" w:color="auto"/>
            <w:bottom w:val="none" w:sz="0" w:space="0" w:color="auto"/>
            <w:right w:val="none" w:sz="0" w:space="0" w:color="auto"/>
          </w:divBdr>
        </w:div>
        <w:div w:id="240069614">
          <w:marLeft w:val="0"/>
          <w:marRight w:val="0"/>
          <w:marTop w:val="0"/>
          <w:marBottom w:val="101"/>
          <w:divBdr>
            <w:top w:val="none" w:sz="0" w:space="0" w:color="auto"/>
            <w:left w:val="none" w:sz="0" w:space="0" w:color="auto"/>
            <w:bottom w:val="none" w:sz="0" w:space="0" w:color="auto"/>
            <w:right w:val="none" w:sz="0" w:space="0" w:color="auto"/>
          </w:divBdr>
        </w:div>
        <w:div w:id="1613395667">
          <w:marLeft w:val="0"/>
          <w:marRight w:val="0"/>
          <w:marTop w:val="0"/>
          <w:marBottom w:val="101"/>
          <w:divBdr>
            <w:top w:val="none" w:sz="0" w:space="0" w:color="auto"/>
            <w:left w:val="none" w:sz="0" w:space="0" w:color="auto"/>
            <w:bottom w:val="none" w:sz="0" w:space="0" w:color="auto"/>
            <w:right w:val="none" w:sz="0" w:space="0" w:color="auto"/>
          </w:divBdr>
        </w:div>
        <w:div w:id="534659021">
          <w:marLeft w:val="0"/>
          <w:marRight w:val="0"/>
          <w:marTop w:val="0"/>
          <w:marBottom w:val="101"/>
          <w:divBdr>
            <w:top w:val="none" w:sz="0" w:space="0" w:color="auto"/>
            <w:left w:val="none" w:sz="0" w:space="0" w:color="auto"/>
            <w:bottom w:val="none" w:sz="0" w:space="0" w:color="auto"/>
            <w:right w:val="none" w:sz="0" w:space="0" w:color="auto"/>
          </w:divBdr>
        </w:div>
        <w:div w:id="1219513946">
          <w:marLeft w:val="0"/>
          <w:marRight w:val="0"/>
          <w:marTop w:val="0"/>
          <w:marBottom w:val="101"/>
          <w:divBdr>
            <w:top w:val="none" w:sz="0" w:space="0" w:color="auto"/>
            <w:left w:val="none" w:sz="0" w:space="0" w:color="auto"/>
            <w:bottom w:val="none" w:sz="0" w:space="0" w:color="auto"/>
            <w:right w:val="none" w:sz="0" w:space="0" w:color="auto"/>
          </w:divBdr>
        </w:div>
        <w:div w:id="2104181248">
          <w:marLeft w:val="0"/>
          <w:marRight w:val="0"/>
          <w:marTop w:val="0"/>
          <w:marBottom w:val="101"/>
          <w:divBdr>
            <w:top w:val="none" w:sz="0" w:space="0" w:color="auto"/>
            <w:left w:val="none" w:sz="0" w:space="0" w:color="auto"/>
            <w:bottom w:val="none" w:sz="0" w:space="0" w:color="auto"/>
            <w:right w:val="none" w:sz="0" w:space="0" w:color="auto"/>
          </w:divBdr>
        </w:div>
        <w:div w:id="293098727">
          <w:marLeft w:val="720"/>
          <w:marRight w:val="0"/>
          <w:marTop w:val="0"/>
          <w:marBottom w:val="101"/>
          <w:divBdr>
            <w:top w:val="none" w:sz="0" w:space="0" w:color="auto"/>
            <w:left w:val="none" w:sz="0" w:space="0" w:color="auto"/>
            <w:bottom w:val="none" w:sz="0" w:space="0" w:color="auto"/>
            <w:right w:val="none" w:sz="0" w:space="0" w:color="auto"/>
          </w:divBdr>
        </w:div>
        <w:div w:id="1392340388">
          <w:marLeft w:val="720"/>
          <w:marRight w:val="0"/>
          <w:marTop w:val="0"/>
          <w:marBottom w:val="101"/>
          <w:divBdr>
            <w:top w:val="none" w:sz="0" w:space="0" w:color="auto"/>
            <w:left w:val="none" w:sz="0" w:space="0" w:color="auto"/>
            <w:bottom w:val="none" w:sz="0" w:space="0" w:color="auto"/>
            <w:right w:val="none" w:sz="0" w:space="0" w:color="auto"/>
          </w:divBdr>
        </w:div>
        <w:div w:id="1553689258">
          <w:marLeft w:val="720"/>
          <w:marRight w:val="0"/>
          <w:marTop w:val="0"/>
          <w:marBottom w:val="101"/>
          <w:divBdr>
            <w:top w:val="none" w:sz="0" w:space="0" w:color="auto"/>
            <w:left w:val="none" w:sz="0" w:space="0" w:color="auto"/>
            <w:bottom w:val="none" w:sz="0" w:space="0" w:color="auto"/>
            <w:right w:val="none" w:sz="0" w:space="0" w:color="auto"/>
          </w:divBdr>
        </w:div>
        <w:div w:id="807358203">
          <w:marLeft w:val="720"/>
          <w:marRight w:val="0"/>
          <w:marTop w:val="0"/>
          <w:marBottom w:val="101"/>
          <w:divBdr>
            <w:top w:val="none" w:sz="0" w:space="0" w:color="auto"/>
            <w:left w:val="none" w:sz="0" w:space="0" w:color="auto"/>
            <w:bottom w:val="none" w:sz="0" w:space="0" w:color="auto"/>
            <w:right w:val="none" w:sz="0" w:space="0" w:color="auto"/>
          </w:divBdr>
        </w:div>
        <w:div w:id="501628143">
          <w:marLeft w:val="720"/>
          <w:marRight w:val="0"/>
          <w:marTop w:val="0"/>
          <w:marBottom w:val="101"/>
          <w:divBdr>
            <w:top w:val="none" w:sz="0" w:space="0" w:color="auto"/>
            <w:left w:val="none" w:sz="0" w:space="0" w:color="auto"/>
            <w:bottom w:val="none" w:sz="0" w:space="0" w:color="auto"/>
            <w:right w:val="none" w:sz="0" w:space="0" w:color="auto"/>
          </w:divBdr>
        </w:div>
        <w:div w:id="1096445458">
          <w:marLeft w:val="720"/>
          <w:marRight w:val="0"/>
          <w:marTop w:val="0"/>
          <w:marBottom w:val="101"/>
          <w:divBdr>
            <w:top w:val="none" w:sz="0" w:space="0" w:color="auto"/>
            <w:left w:val="none" w:sz="0" w:space="0" w:color="auto"/>
            <w:bottom w:val="none" w:sz="0" w:space="0" w:color="auto"/>
            <w:right w:val="none" w:sz="0" w:space="0" w:color="auto"/>
          </w:divBdr>
        </w:div>
        <w:div w:id="1065837035">
          <w:marLeft w:val="720"/>
          <w:marRight w:val="0"/>
          <w:marTop w:val="0"/>
          <w:marBottom w:val="101"/>
          <w:divBdr>
            <w:top w:val="none" w:sz="0" w:space="0" w:color="auto"/>
            <w:left w:val="none" w:sz="0" w:space="0" w:color="auto"/>
            <w:bottom w:val="none" w:sz="0" w:space="0" w:color="auto"/>
            <w:right w:val="none" w:sz="0" w:space="0" w:color="auto"/>
          </w:divBdr>
        </w:div>
        <w:div w:id="700326250">
          <w:marLeft w:val="0"/>
          <w:marRight w:val="0"/>
          <w:marTop w:val="0"/>
          <w:marBottom w:val="101"/>
          <w:divBdr>
            <w:top w:val="none" w:sz="0" w:space="0" w:color="auto"/>
            <w:left w:val="none" w:sz="0" w:space="0" w:color="auto"/>
            <w:bottom w:val="none" w:sz="0" w:space="0" w:color="auto"/>
            <w:right w:val="none" w:sz="0" w:space="0" w:color="auto"/>
          </w:divBdr>
        </w:div>
        <w:div w:id="1841506736">
          <w:marLeft w:val="0"/>
          <w:marRight w:val="0"/>
          <w:marTop w:val="0"/>
          <w:marBottom w:val="101"/>
          <w:divBdr>
            <w:top w:val="none" w:sz="0" w:space="0" w:color="auto"/>
            <w:left w:val="none" w:sz="0" w:space="0" w:color="auto"/>
            <w:bottom w:val="none" w:sz="0" w:space="0" w:color="auto"/>
            <w:right w:val="none" w:sz="0" w:space="0" w:color="auto"/>
          </w:divBdr>
        </w:div>
        <w:div w:id="1361473321">
          <w:marLeft w:val="0"/>
          <w:marRight w:val="0"/>
          <w:marTop w:val="0"/>
          <w:marBottom w:val="101"/>
          <w:divBdr>
            <w:top w:val="none" w:sz="0" w:space="0" w:color="auto"/>
            <w:left w:val="none" w:sz="0" w:space="0" w:color="auto"/>
            <w:bottom w:val="none" w:sz="0" w:space="0" w:color="auto"/>
            <w:right w:val="none" w:sz="0" w:space="0" w:color="auto"/>
          </w:divBdr>
        </w:div>
        <w:div w:id="492110104">
          <w:marLeft w:val="0"/>
          <w:marRight w:val="0"/>
          <w:marTop w:val="0"/>
          <w:marBottom w:val="101"/>
          <w:divBdr>
            <w:top w:val="none" w:sz="0" w:space="0" w:color="auto"/>
            <w:left w:val="none" w:sz="0" w:space="0" w:color="auto"/>
            <w:bottom w:val="none" w:sz="0" w:space="0" w:color="auto"/>
            <w:right w:val="none" w:sz="0" w:space="0" w:color="auto"/>
          </w:divBdr>
        </w:div>
        <w:div w:id="2103455596">
          <w:marLeft w:val="0"/>
          <w:marRight w:val="0"/>
          <w:marTop w:val="0"/>
          <w:marBottom w:val="101"/>
          <w:divBdr>
            <w:top w:val="none" w:sz="0" w:space="0" w:color="auto"/>
            <w:left w:val="none" w:sz="0" w:space="0" w:color="auto"/>
            <w:bottom w:val="none" w:sz="0" w:space="0" w:color="auto"/>
            <w:right w:val="none" w:sz="0" w:space="0" w:color="auto"/>
          </w:divBdr>
        </w:div>
        <w:div w:id="1431778897">
          <w:marLeft w:val="0"/>
          <w:marRight w:val="0"/>
          <w:marTop w:val="0"/>
          <w:marBottom w:val="101"/>
          <w:divBdr>
            <w:top w:val="none" w:sz="0" w:space="0" w:color="auto"/>
            <w:left w:val="none" w:sz="0" w:space="0" w:color="auto"/>
            <w:bottom w:val="none" w:sz="0" w:space="0" w:color="auto"/>
            <w:right w:val="none" w:sz="0" w:space="0" w:color="auto"/>
          </w:divBdr>
        </w:div>
        <w:div w:id="1775438679">
          <w:marLeft w:val="0"/>
          <w:marRight w:val="0"/>
          <w:marTop w:val="0"/>
          <w:marBottom w:val="101"/>
          <w:divBdr>
            <w:top w:val="none" w:sz="0" w:space="0" w:color="auto"/>
            <w:left w:val="none" w:sz="0" w:space="0" w:color="auto"/>
            <w:bottom w:val="none" w:sz="0" w:space="0" w:color="auto"/>
            <w:right w:val="none" w:sz="0" w:space="0" w:color="auto"/>
          </w:divBdr>
        </w:div>
        <w:div w:id="520122672">
          <w:marLeft w:val="0"/>
          <w:marRight w:val="0"/>
          <w:marTop w:val="0"/>
          <w:marBottom w:val="101"/>
          <w:divBdr>
            <w:top w:val="none" w:sz="0" w:space="0" w:color="auto"/>
            <w:left w:val="none" w:sz="0" w:space="0" w:color="auto"/>
            <w:bottom w:val="none" w:sz="0" w:space="0" w:color="auto"/>
            <w:right w:val="none" w:sz="0" w:space="0" w:color="auto"/>
          </w:divBdr>
        </w:div>
        <w:div w:id="1429429057">
          <w:marLeft w:val="720"/>
          <w:marRight w:val="0"/>
          <w:marTop w:val="0"/>
          <w:marBottom w:val="101"/>
          <w:divBdr>
            <w:top w:val="none" w:sz="0" w:space="0" w:color="auto"/>
            <w:left w:val="none" w:sz="0" w:space="0" w:color="auto"/>
            <w:bottom w:val="none" w:sz="0" w:space="0" w:color="auto"/>
            <w:right w:val="none" w:sz="0" w:space="0" w:color="auto"/>
          </w:divBdr>
        </w:div>
        <w:div w:id="2135633921">
          <w:marLeft w:val="720"/>
          <w:marRight w:val="0"/>
          <w:marTop w:val="0"/>
          <w:marBottom w:val="101"/>
          <w:divBdr>
            <w:top w:val="none" w:sz="0" w:space="0" w:color="auto"/>
            <w:left w:val="none" w:sz="0" w:space="0" w:color="auto"/>
            <w:bottom w:val="none" w:sz="0" w:space="0" w:color="auto"/>
            <w:right w:val="none" w:sz="0" w:space="0" w:color="auto"/>
          </w:divBdr>
        </w:div>
        <w:div w:id="1035500420">
          <w:marLeft w:val="720"/>
          <w:marRight w:val="0"/>
          <w:marTop w:val="0"/>
          <w:marBottom w:val="101"/>
          <w:divBdr>
            <w:top w:val="none" w:sz="0" w:space="0" w:color="auto"/>
            <w:left w:val="none" w:sz="0" w:space="0" w:color="auto"/>
            <w:bottom w:val="none" w:sz="0" w:space="0" w:color="auto"/>
            <w:right w:val="none" w:sz="0" w:space="0" w:color="auto"/>
          </w:divBdr>
        </w:div>
        <w:div w:id="514420677">
          <w:marLeft w:val="720"/>
          <w:marRight w:val="0"/>
          <w:marTop w:val="0"/>
          <w:marBottom w:val="101"/>
          <w:divBdr>
            <w:top w:val="none" w:sz="0" w:space="0" w:color="auto"/>
            <w:left w:val="none" w:sz="0" w:space="0" w:color="auto"/>
            <w:bottom w:val="none" w:sz="0" w:space="0" w:color="auto"/>
            <w:right w:val="none" w:sz="0" w:space="0" w:color="auto"/>
          </w:divBdr>
        </w:div>
        <w:div w:id="2041974723">
          <w:marLeft w:val="720"/>
          <w:marRight w:val="0"/>
          <w:marTop w:val="0"/>
          <w:marBottom w:val="101"/>
          <w:divBdr>
            <w:top w:val="none" w:sz="0" w:space="0" w:color="auto"/>
            <w:left w:val="none" w:sz="0" w:space="0" w:color="auto"/>
            <w:bottom w:val="none" w:sz="0" w:space="0" w:color="auto"/>
            <w:right w:val="none" w:sz="0" w:space="0" w:color="auto"/>
          </w:divBdr>
        </w:div>
        <w:div w:id="928393416">
          <w:marLeft w:val="720"/>
          <w:marRight w:val="0"/>
          <w:marTop w:val="0"/>
          <w:marBottom w:val="101"/>
          <w:divBdr>
            <w:top w:val="none" w:sz="0" w:space="0" w:color="auto"/>
            <w:left w:val="none" w:sz="0" w:space="0" w:color="auto"/>
            <w:bottom w:val="none" w:sz="0" w:space="0" w:color="auto"/>
            <w:right w:val="none" w:sz="0" w:space="0" w:color="auto"/>
          </w:divBdr>
        </w:div>
        <w:div w:id="393821822">
          <w:marLeft w:val="720"/>
          <w:marRight w:val="0"/>
          <w:marTop w:val="0"/>
          <w:marBottom w:val="101"/>
          <w:divBdr>
            <w:top w:val="none" w:sz="0" w:space="0" w:color="auto"/>
            <w:left w:val="none" w:sz="0" w:space="0" w:color="auto"/>
            <w:bottom w:val="none" w:sz="0" w:space="0" w:color="auto"/>
            <w:right w:val="none" w:sz="0" w:space="0" w:color="auto"/>
          </w:divBdr>
        </w:div>
        <w:div w:id="118381953">
          <w:marLeft w:val="720"/>
          <w:marRight w:val="0"/>
          <w:marTop w:val="0"/>
          <w:marBottom w:val="101"/>
          <w:divBdr>
            <w:top w:val="none" w:sz="0" w:space="0" w:color="auto"/>
            <w:left w:val="none" w:sz="0" w:space="0" w:color="auto"/>
            <w:bottom w:val="none" w:sz="0" w:space="0" w:color="auto"/>
            <w:right w:val="none" w:sz="0" w:space="0" w:color="auto"/>
          </w:divBdr>
        </w:div>
        <w:div w:id="950749028">
          <w:marLeft w:val="720"/>
          <w:marRight w:val="0"/>
          <w:marTop w:val="0"/>
          <w:marBottom w:val="101"/>
          <w:divBdr>
            <w:top w:val="none" w:sz="0" w:space="0" w:color="auto"/>
            <w:left w:val="none" w:sz="0" w:space="0" w:color="auto"/>
            <w:bottom w:val="none" w:sz="0" w:space="0" w:color="auto"/>
            <w:right w:val="none" w:sz="0" w:space="0" w:color="auto"/>
          </w:divBdr>
        </w:div>
        <w:div w:id="1490366657">
          <w:marLeft w:val="720"/>
          <w:marRight w:val="0"/>
          <w:marTop w:val="0"/>
          <w:marBottom w:val="101"/>
          <w:divBdr>
            <w:top w:val="none" w:sz="0" w:space="0" w:color="auto"/>
            <w:left w:val="none" w:sz="0" w:space="0" w:color="auto"/>
            <w:bottom w:val="none" w:sz="0" w:space="0" w:color="auto"/>
            <w:right w:val="none" w:sz="0" w:space="0" w:color="auto"/>
          </w:divBdr>
        </w:div>
        <w:div w:id="2115858519">
          <w:marLeft w:val="720"/>
          <w:marRight w:val="0"/>
          <w:marTop w:val="0"/>
          <w:marBottom w:val="101"/>
          <w:divBdr>
            <w:top w:val="none" w:sz="0" w:space="0" w:color="auto"/>
            <w:left w:val="none" w:sz="0" w:space="0" w:color="auto"/>
            <w:bottom w:val="none" w:sz="0" w:space="0" w:color="auto"/>
            <w:right w:val="none" w:sz="0" w:space="0" w:color="auto"/>
          </w:divBdr>
        </w:div>
        <w:div w:id="1969629130">
          <w:marLeft w:val="720"/>
          <w:marRight w:val="0"/>
          <w:marTop w:val="0"/>
          <w:marBottom w:val="101"/>
          <w:divBdr>
            <w:top w:val="none" w:sz="0" w:space="0" w:color="auto"/>
            <w:left w:val="none" w:sz="0" w:space="0" w:color="auto"/>
            <w:bottom w:val="none" w:sz="0" w:space="0" w:color="auto"/>
            <w:right w:val="none" w:sz="0" w:space="0" w:color="auto"/>
          </w:divBdr>
        </w:div>
        <w:div w:id="1901793520">
          <w:marLeft w:val="720"/>
          <w:marRight w:val="0"/>
          <w:marTop w:val="0"/>
          <w:marBottom w:val="101"/>
          <w:divBdr>
            <w:top w:val="none" w:sz="0" w:space="0" w:color="auto"/>
            <w:left w:val="none" w:sz="0" w:space="0" w:color="auto"/>
            <w:bottom w:val="none" w:sz="0" w:space="0" w:color="auto"/>
            <w:right w:val="none" w:sz="0" w:space="0" w:color="auto"/>
          </w:divBdr>
        </w:div>
        <w:div w:id="1143616801">
          <w:marLeft w:val="0"/>
          <w:marRight w:val="0"/>
          <w:marTop w:val="0"/>
          <w:marBottom w:val="101"/>
          <w:divBdr>
            <w:top w:val="none" w:sz="0" w:space="0" w:color="auto"/>
            <w:left w:val="none" w:sz="0" w:space="0" w:color="auto"/>
            <w:bottom w:val="none" w:sz="0" w:space="0" w:color="auto"/>
            <w:right w:val="none" w:sz="0" w:space="0" w:color="auto"/>
          </w:divBdr>
        </w:div>
        <w:div w:id="1530683357">
          <w:marLeft w:val="720"/>
          <w:marRight w:val="0"/>
          <w:marTop w:val="0"/>
          <w:marBottom w:val="101"/>
          <w:divBdr>
            <w:top w:val="none" w:sz="0" w:space="0" w:color="auto"/>
            <w:left w:val="none" w:sz="0" w:space="0" w:color="auto"/>
            <w:bottom w:val="none" w:sz="0" w:space="0" w:color="auto"/>
            <w:right w:val="none" w:sz="0" w:space="0" w:color="auto"/>
          </w:divBdr>
        </w:div>
        <w:div w:id="967512116">
          <w:marLeft w:val="720"/>
          <w:marRight w:val="0"/>
          <w:marTop w:val="0"/>
          <w:marBottom w:val="101"/>
          <w:divBdr>
            <w:top w:val="none" w:sz="0" w:space="0" w:color="auto"/>
            <w:left w:val="none" w:sz="0" w:space="0" w:color="auto"/>
            <w:bottom w:val="none" w:sz="0" w:space="0" w:color="auto"/>
            <w:right w:val="none" w:sz="0" w:space="0" w:color="auto"/>
          </w:divBdr>
        </w:div>
        <w:div w:id="922032022">
          <w:marLeft w:val="720"/>
          <w:marRight w:val="0"/>
          <w:marTop w:val="0"/>
          <w:marBottom w:val="101"/>
          <w:divBdr>
            <w:top w:val="none" w:sz="0" w:space="0" w:color="auto"/>
            <w:left w:val="none" w:sz="0" w:space="0" w:color="auto"/>
            <w:bottom w:val="none" w:sz="0" w:space="0" w:color="auto"/>
            <w:right w:val="none" w:sz="0" w:space="0" w:color="auto"/>
          </w:divBdr>
        </w:div>
        <w:div w:id="1775858571">
          <w:marLeft w:val="0"/>
          <w:marRight w:val="0"/>
          <w:marTop w:val="0"/>
          <w:marBottom w:val="101"/>
          <w:divBdr>
            <w:top w:val="none" w:sz="0" w:space="0" w:color="auto"/>
            <w:left w:val="none" w:sz="0" w:space="0" w:color="auto"/>
            <w:bottom w:val="none" w:sz="0" w:space="0" w:color="auto"/>
            <w:right w:val="none" w:sz="0" w:space="0" w:color="auto"/>
          </w:divBdr>
        </w:div>
        <w:div w:id="1152912271">
          <w:marLeft w:val="0"/>
          <w:marRight w:val="0"/>
          <w:marTop w:val="0"/>
          <w:marBottom w:val="101"/>
          <w:divBdr>
            <w:top w:val="none" w:sz="0" w:space="0" w:color="auto"/>
            <w:left w:val="none" w:sz="0" w:space="0" w:color="auto"/>
            <w:bottom w:val="none" w:sz="0" w:space="0" w:color="auto"/>
            <w:right w:val="none" w:sz="0" w:space="0" w:color="auto"/>
          </w:divBdr>
        </w:div>
        <w:div w:id="184176930">
          <w:marLeft w:val="0"/>
          <w:marRight w:val="0"/>
          <w:marTop w:val="0"/>
          <w:marBottom w:val="101"/>
          <w:divBdr>
            <w:top w:val="none" w:sz="0" w:space="0" w:color="auto"/>
            <w:left w:val="none" w:sz="0" w:space="0" w:color="auto"/>
            <w:bottom w:val="none" w:sz="0" w:space="0" w:color="auto"/>
            <w:right w:val="none" w:sz="0" w:space="0" w:color="auto"/>
          </w:divBdr>
        </w:div>
        <w:div w:id="841508213">
          <w:marLeft w:val="0"/>
          <w:marRight w:val="0"/>
          <w:marTop w:val="0"/>
          <w:marBottom w:val="101"/>
          <w:divBdr>
            <w:top w:val="none" w:sz="0" w:space="0" w:color="auto"/>
            <w:left w:val="none" w:sz="0" w:space="0" w:color="auto"/>
            <w:bottom w:val="none" w:sz="0" w:space="0" w:color="auto"/>
            <w:right w:val="none" w:sz="0" w:space="0" w:color="auto"/>
          </w:divBdr>
        </w:div>
        <w:div w:id="1782216356">
          <w:marLeft w:val="0"/>
          <w:marRight w:val="0"/>
          <w:marTop w:val="0"/>
          <w:marBottom w:val="101"/>
          <w:divBdr>
            <w:top w:val="none" w:sz="0" w:space="0" w:color="auto"/>
            <w:left w:val="none" w:sz="0" w:space="0" w:color="auto"/>
            <w:bottom w:val="none" w:sz="0" w:space="0" w:color="auto"/>
            <w:right w:val="none" w:sz="0" w:space="0" w:color="auto"/>
          </w:divBdr>
        </w:div>
        <w:div w:id="754277822">
          <w:marLeft w:val="0"/>
          <w:marRight w:val="0"/>
          <w:marTop w:val="0"/>
          <w:marBottom w:val="101"/>
          <w:divBdr>
            <w:top w:val="none" w:sz="0" w:space="0" w:color="auto"/>
            <w:left w:val="none" w:sz="0" w:space="0" w:color="auto"/>
            <w:bottom w:val="none" w:sz="0" w:space="0" w:color="auto"/>
            <w:right w:val="none" w:sz="0" w:space="0" w:color="auto"/>
          </w:divBdr>
        </w:div>
        <w:div w:id="1687246575">
          <w:marLeft w:val="0"/>
          <w:marRight w:val="0"/>
          <w:marTop w:val="0"/>
          <w:marBottom w:val="101"/>
          <w:divBdr>
            <w:top w:val="none" w:sz="0" w:space="0" w:color="auto"/>
            <w:left w:val="none" w:sz="0" w:space="0" w:color="auto"/>
            <w:bottom w:val="none" w:sz="0" w:space="0" w:color="auto"/>
            <w:right w:val="none" w:sz="0" w:space="0" w:color="auto"/>
          </w:divBdr>
        </w:div>
        <w:div w:id="860163113">
          <w:marLeft w:val="0"/>
          <w:marRight w:val="0"/>
          <w:marTop w:val="0"/>
          <w:marBottom w:val="101"/>
          <w:divBdr>
            <w:top w:val="none" w:sz="0" w:space="0" w:color="auto"/>
            <w:left w:val="none" w:sz="0" w:space="0" w:color="auto"/>
            <w:bottom w:val="none" w:sz="0" w:space="0" w:color="auto"/>
            <w:right w:val="none" w:sz="0" w:space="0" w:color="auto"/>
          </w:divBdr>
        </w:div>
        <w:div w:id="219370857">
          <w:marLeft w:val="0"/>
          <w:marRight w:val="0"/>
          <w:marTop w:val="0"/>
          <w:marBottom w:val="101"/>
          <w:divBdr>
            <w:top w:val="none" w:sz="0" w:space="0" w:color="auto"/>
            <w:left w:val="none" w:sz="0" w:space="0" w:color="auto"/>
            <w:bottom w:val="none" w:sz="0" w:space="0" w:color="auto"/>
            <w:right w:val="none" w:sz="0" w:space="0" w:color="auto"/>
          </w:divBdr>
        </w:div>
        <w:div w:id="1124152555">
          <w:marLeft w:val="0"/>
          <w:marRight w:val="0"/>
          <w:marTop w:val="0"/>
          <w:marBottom w:val="101"/>
          <w:divBdr>
            <w:top w:val="none" w:sz="0" w:space="0" w:color="auto"/>
            <w:left w:val="none" w:sz="0" w:space="0" w:color="auto"/>
            <w:bottom w:val="none" w:sz="0" w:space="0" w:color="auto"/>
            <w:right w:val="none" w:sz="0" w:space="0" w:color="auto"/>
          </w:divBdr>
        </w:div>
        <w:div w:id="833492886">
          <w:marLeft w:val="0"/>
          <w:marRight w:val="0"/>
          <w:marTop w:val="0"/>
          <w:marBottom w:val="101"/>
          <w:divBdr>
            <w:top w:val="none" w:sz="0" w:space="0" w:color="auto"/>
            <w:left w:val="none" w:sz="0" w:space="0" w:color="auto"/>
            <w:bottom w:val="none" w:sz="0" w:space="0" w:color="auto"/>
            <w:right w:val="none" w:sz="0" w:space="0" w:color="auto"/>
          </w:divBdr>
        </w:div>
        <w:div w:id="1773471062">
          <w:marLeft w:val="0"/>
          <w:marRight w:val="0"/>
          <w:marTop w:val="0"/>
          <w:marBottom w:val="101"/>
          <w:divBdr>
            <w:top w:val="none" w:sz="0" w:space="0" w:color="auto"/>
            <w:left w:val="none" w:sz="0" w:space="0" w:color="auto"/>
            <w:bottom w:val="none" w:sz="0" w:space="0" w:color="auto"/>
            <w:right w:val="none" w:sz="0" w:space="0" w:color="auto"/>
          </w:divBdr>
        </w:div>
        <w:div w:id="874149542">
          <w:marLeft w:val="0"/>
          <w:marRight w:val="0"/>
          <w:marTop w:val="0"/>
          <w:marBottom w:val="101"/>
          <w:divBdr>
            <w:top w:val="none" w:sz="0" w:space="0" w:color="auto"/>
            <w:left w:val="none" w:sz="0" w:space="0" w:color="auto"/>
            <w:bottom w:val="none" w:sz="0" w:space="0" w:color="auto"/>
            <w:right w:val="none" w:sz="0" w:space="0" w:color="auto"/>
          </w:divBdr>
        </w:div>
        <w:div w:id="1547065731">
          <w:marLeft w:val="0"/>
          <w:marRight w:val="0"/>
          <w:marTop w:val="0"/>
          <w:marBottom w:val="101"/>
          <w:divBdr>
            <w:top w:val="none" w:sz="0" w:space="0" w:color="auto"/>
            <w:left w:val="none" w:sz="0" w:space="0" w:color="auto"/>
            <w:bottom w:val="none" w:sz="0" w:space="0" w:color="auto"/>
            <w:right w:val="none" w:sz="0" w:space="0" w:color="auto"/>
          </w:divBdr>
        </w:div>
        <w:div w:id="706412696">
          <w:marLeft w:val="0"/>
          <w:marRight w:val="0"/>
          <w:marTop w:val="0"/>
          <w:marBottom w:val="101"/>
          <w:divBdr>
            <w:top w:val="none" w:sz="0" w:space="0" w:color="auto"/>
            <w:left w:val="none" w:sz="0" w:space="0" w:color="auto"/>
            <w:bottom w:val="none" w:sz="0" w:space="0" w:color="auto"/>
            <w:right w:val="none" w:sz="0" w:space="0" w:color="auto"/>
          </w:divBdr>
        </w:div>
        <w:div w:id="1495102419">
          <w:marLeft w:val="0"/>
          <w:marRight w:val="0"/>
          <w:marTop w:val="0"/>
          <w:marBottom w:val="101"/>
          <w:divBdr>
            <w:top w:val="none" w:sz="0" w:space="0" w:color="auto"/>
            <w:left w:val="none" w:sz="0" w:space="0" w:color="auto"/>
            <w:bottom w:val="none" w:sz="0" w:space="0" w:color="auto"/>
            <w:right w:val="none" w:sz="0" w:space="0" w:color="auto"/>
          </w:divBdr>
        </w:div>
        <w:div w:id="189144282">
          <w:marLeft w:val="0"/>
          <w:marRight w:val="0"/>
          <w:marTop w:val="0"/>
          <w:marBottom w:val="101"/>
          <w:divBdr>
            <w:top w:val="none" w:sz="0" w:space="0" w:color="auto"/>
            <w:left w:val="none" w:sz="0" w:space="0" w:color="auto"/>
            <w:bottom w:val="none" w:sz="0" w:space="0" w:color="auto"/>
            <w:right w:val="none" w:sz="0" w:space="0" w:color="auto"/>
          </w:divBdr>
        </w:div>
        <w:div w:id="1484353446">
          <w:marLeft w:val="0"/>
          <w:marRight w:val="0"/>
          <w:marTop w:val="0"/>
          <w:marBottom w:val="101"/>
          <w:divBdr>
            <w:top w:val="none" w:sz="0" w:space="0" w:color="auto"/>
            <w:left w:val="none" w:sz="0" w:space="0" w:color="auto"/>
            <w:bottom w:val="none" w:sz="0" w:space="0" w:color="auto"/>
            <w:right w:val="none" w:sz="0" w:space="0" w:color="auto"/>
          </w:divBdr>
        </w:div>
        <w:div w:id="1775710490">
          <w:marLeft w:val="0"/>
          <w:marRight w:val="0"/>
          <w:marTop w:val="0"/>
          <w:marBottom w:val="101"/>
          <w:divBdr>
            <w:top w:val="none" w:sz="0" w:space="0" w:color="auto"/>
            <w:left w:val="none" w:sz="0" w:space="0" w:color="auto"/>
            <w:bottom w:val="none" w:sz="0" w:space="0" w:color="auto"/>
            <w:right w:val="none" w:sz="0" w:space="0" w:color="auto"/>
          </w:divBdr>
        </w:div>
        <w:div w:id="1507862436">
          <w:marLeft w:val="0"/>
          <w:marRight w:val="0"/>
          <w:marTop w:val="101"/>
          <w:marBottom w:val="101"/>
          <w:divBdr>
            <w:top w:val="none" w:sz="0" w:space="0" w:color="auto"/>
            <w:left w:val="none" w:sz="0" w:space="0" w:color="auto"/>
            <w:bottom w:val="none" w:sz="0" w:space="0" w:color="auto"/>
            <w:right w:val="none" w:sz="0" w:space="0" w:color="auto"/>
          </w:divBdr>
        </w:div>
        <w:div w:id="1078593688">
          <w:marLeft w:val="0"/>
          <w:marRight w:val="0"/>
          <w:marTop w:val="0"/>
          <w:marBottom w:val="101"/>
          <w:divBdr>
            <w:top w:val="none" w:sz="0" w:space="0" w:color="auto"/>
            <w:left w:val="none" w:sz="0" w:space="0" w:color="auto"/>
            <w:bottom w:val="none" w:sz="0" w:space="0" w:color="auto"/>
            <w:right w:val="none" w:sz="0" w:space="0" w:color="auto"/>
          </w:divBdr>
        </w:div>
        <w:div w:id="1245993086">
          <w:marLeft w:val="0"/>
          <w:marRight w:val="0"/>
          <w:marTop w:val="0"/>
          <w:marBottom w:val="101"/>
          <w:divBdr>
            <w:top w:val="none" w:sz="0" w:space="0" w:color="auto"/>
            <w:left w:val="none" w:sz="0" w:space="0" w:color="auto"/>
            <w:bottom w:val="single" w:sz="6" w:space="0" w:color="000000"/>
            <w:right w:val="none" w:sz="0" w:space="0" w:color="auto"/>
          </w:divBdr>
        </w:div>
        <w:div w:id="1986349288">
          <w:marLeft w:val="900"/>
          <w:marRight w:val="0"/>
          <w:marTop w:val="0"/>
          <w:marBottom w:val="101"/>
          <w:divBdr>
            <w:top w:val="none" w:sz="0" w:space="0" w:color="auto"/>
            <w:left w:val="none" w:sz="0" w:space="0" w:color="auto"/>
            <w:bottom w:val="none" w:sz="0" w:space="0" w:color="auto"/>
            <w:right w:val="none" w:sz="0" w:space="0" w:color="auto"/>
          </w:divBdr>
        </w:div>
        <w:div w:id="191042902">
          <w:marLeft w:val="900"/>
          <w:marRight w:val="0"/>
          <w:marTop w:val="0"/>
          <w:marBottom w:val="101"/>
          <w:divBdr>
            <w:top w:val="none" w:sz="0" w:space="0" w:color="auto"/>
            <w:left w:val="none" w:sz="0" w:space="0" w:color="auto"/>
            <w:bottom w:val="none" w:sz="0" w:space="0" w:color="auto"/>
            <w:right w:val="none" w:sz="0" w:space="0" w:color="auto"/>
          </w:divBdr>
        </w:div>
        <w:div w:id="107161256">
          <w:marLeft w:val="900"/>
          <w:marRight w:val="0"/>
          <w:marTop w:val="0"/>
          <w:marBottom w:val="101"/>
          <w:divBdr>
            <w:top w:val="none" w:sz="0" w:space="0" w:color="auto"/>
            <w:left w:val="none" w:sz="0" w:space="0" w:color="auto"/>
            <w:bottom w:val="none" w:sz="0" w:space="0" w:color="auto"/>
            <w:right w:val="none" w:sz="0" w:space="0" w:color="auto"/>
          </w:divBdr>
        </w:div>
        <w:div w:id="348071127">
          <w:marLeft w:val="900"/>
          <w:marRight w:val="0"/>
          <w:marTop w:val="0"/>
          <w:marBottom w:val="101"/>
          <w:divBdr>
            <w:top w:val="none" w:sz="0" w:space="0" w:color="auto"/>
            <w:left w:val="none" w:sz="0" w:space="0" w:color="auto"/>
            <w:bottom w:val="none" w:sz="0" w:space="0" w:color="auto"/>
            <w:right w:val="none" w:sz="0" w:space="0" w:color="auto"/>
          </w:divBdr>
        </w:div>
        <w:div w:id="1521816735">
          <w:marLeft w:val="900"/>
          <w:marRight w:val="0"/>
          <w:marTop w:val="0"/>
          <w:marBottom w:val="101"/>
          <w:divBdr>
            <w:top w:val="none" w:sz="0" w:space="0" w:color="auto"/>
            <w:left w:val="none" w:sz="0" w:space="0" w:color="auto"/>
            <w:bottom w:val="none" w:sz="0" w:space="0" w:color="auto"/>
            <w:right w:val="none" w:sz="0" w:space="0" w:color="auto"/>
          </w:divBdr>
        </w:div>
        <w:div w:id="735707464">
          <w:marLeft w:val="900"/>
          <w:marRight w:val="0"/>
          <w:marTop w:val="0"/>
          <w:marBottom w:val="101"/>
          <w:divBdr>
            <w:top w:val="none" w:sz="0" w:space="0" w:color="auto"/>
            <w:left w:val="none" w:sz="0" w:space="0" w:color="auto"/>
            <w:bottom w:val="none" w:sz="0" w:space="0" w:color="auto"/>
            <w:right w:val="none" w:sz="0" w:space="0" w:color="auto"/>
          </w:divBdr>
        </w:div>
        <w:div w:id="515652446">
          <w:marLeft w:val="900"/>
          <w:marRight w:val="0"/>
          <w:marTop w:val="0"/>
          <w:marBottom w:val="101"/>
          <w:divBdr>
            <w:top w:val="none" w:sz="0" w:space="0" w:color="auto"/>
            <w:left w:val="none" w:sz="0" w:space="0" w:color="auto"/>
            <w:bottom w:val="none" w:sz="0" w:space="0" w:color="auto"/>
            <w:right w:val="none" w:sz="0" w:space="0" w:color="auto"/>
          </w:divBdr>
        </w:div>
        <w:div w:id="215625213">
          <w:marLeft w:val="900"/>
          <w:marRight w:val="0"/>
          <w:marTop w:val="0"/>
          <w:marBottom w:val="101"/>
          <w:divBdr>
            <w:top w:val="none" w:sz="0" w:space="0" w:color="auto"/>
            <w:left w:val="none" w:sz="0" w:space="0" w:color="auto"/>
            <w:bottom w:val="none" w:sz="0" w:space="0" w:color="auto"/>
            <w:right w:val="none" w:sz="0" w:space="0" w:color="auto"/>
          </w:divBdr>
        </w:div>
        <w:div w:id="1416783680">
          <w:marLeft w:val="0"/>
          <w:marRight w:val="0"/>
          <w:marTop w:val="0"/>
          <w:marBottom w:val="101"/>
          <w:divBdr>
            <w:top w:val="none" w:sz="0" w:space="0" w:color="auto"/>
            <w:left w:val="none" w:sz="0" w:space="0" w:color="auto"/>
            <w:bottom w:val="none" w:sz="0" w:space="0" w:color="auto"/>
            <w:right w:val="none" w:sz="0" w:space="0" w:color="auto"/>
          </w:divBdr>
        </w:div>
        <w:div w:id="879324265">
          <w:marLeft w:val="900"/>
          <w:marRight w:val="0"/>
          <w:marTop w:val="0"/>
          <w:marBottom w:val="101"/>
          <w:divBdr>
            <w:top w:val="none" w:sz="0" w:space="0" w:color="auto"/>
            <w:left w:val="none" w:sz="0" w:space="0" w:color="auto"/>
            <w:bottom w:val="none" w:sz="0" w:space="0" w:color="auto"/>
            <w:right w:val="none" w:sz="0" w:space="0" w:color="auto"/>
          </w:divBdr>
        </w:div>
        <w:div w:id="264315777">
          <w:marLeft w:val="900"/>
          <w:marRight w:val="0"/>
          <w:marTop w:val="0"/>
          <w:marBottom w:val="101"/>
          <w:divBdr>
            <w:top w:val="none" w:sz="0" w:space="0" w:color="auto"/>
            <w:left w:val="none" w:sz="0" w:space="0" w:color="auto"/>
            <w:bottom w:val="none" w:sz="0" w:space="0" w:color="auto"/>
            <w:right w:val="none" w:sz="0" w:space="0" w:color="auto"/>
          </w:divBdr>
        </w:div>
        <w:div w:id="398751058">
          <w:marLeft w:val="900"/>
          <w:marRight w:val="0"/>
          <w:marTop w:val="0"/>
          <w:marBottom w:val="101"/>
          <w:divBdr>
            <w:top w:val="none" w:sz="0" w:space="0" w:color="auto"/>
            <w:left w:val="none" w:sz="0" w:space="0" w:color="auto"/>
            <w:bottom w:val="none" w:sz="0" w:space="0" w:color="auto"/>
            <w:right w:val="none" w:sz="0" w:space="0" w:color="auto"/>
          </w:divBdr>
        </w:div>
        <w:div w:id="1679579795">
          <w:marLeft w:val="900"/>
          <w:marRight w:val="0"/>
          <w:marTop w:val="0"/>
          <w:marBottom w:val="101"/>
          <w:divBdr>
            <w:top w:val="none" w:sz="0" w:space="0" w:color="auto"/>
            <w:left w:val="none" w:sz="0" w:space="0" w:color="auto"/>
            <w:bottom w:val="none" w:sz="0" w:space="0" w:color="auto"/>
            <w:right w:val="none" w:sz="0" w:space="0" w:color="auto"/>
          </w:divBdr>
        </w:div>
        <w:div w:id="1271471389">
          <w:marLeft w:val="900"/>
          <w:marRight w:val="0"/>
          <w:marTop w:val="0"/>
          <w:marBottom w:val="101"/>
          <w:divBdr>
            <w:top w:val="none" w:sz="0" w:space="0" w:color="auto"/>
            <w:left w:val="none" w:sz="0" w:space="0" w:color="auto"/>
            <w:bottom w:val="none" w:sz="0" w:space="0" w:color="auto"/>
            <w:right w:val="none" w:sz="0" w:space="0" w:color="auto"/>
          </w:divBdr>
        </w:div>
        <w:div w:id="1832674179">
          <w:marLeft w:val="900"/>
          <w:marRight w:val="0"/>
          <w:marTop w:val="0"/>
          <w:marBottom w:val="101"/>
          <w:divBdr>
            <w:top w:val="none" w:sz="0" w:space="0" w:color="auto"/>
            <w:left w:val="none" w:sz="0" w:space="0" w:color="auto"/>
            <w:bottom w:val="none" w:sz="0" w:space="0" w:color="auto"/>
            <w:right w:val="none" w:sz="0" w:space="0" w:color="auto"/>
          </w:divBdr>
        </w:div>
        <w:div w:id="811677936">
          <w:marLeft w:val="900"/>
          <w:marRight w:val="0"/>
          <w:marTop w:val="0"/>
          <w:marBottom w:val="101"/>
          <w:divBdr>
            <w:top w:val="none" w:sz="0" w:space="0" w:color="auto"/>
            <w:left w:val="none" w:sz="0" w:space="0" w:color="auto"/>
            <w:bottom w:val="none" w:sz="0" w:space="0" w:color="auto"/>
            <w:right w:val="none" w:sz="0" w:space="0" w:color="auto"/>
          </w:divBdr>
        </w:div>
        <w:div w:id="1891769617">
          <w:marLeft w:val="907"/>
          <w:marRight w:val="0"/>
          <w:marTop w:val="0"/>
          <w:marBottom w:val="101"/>
          <w:divBdr>
            <w:top w:val="none" w:sz="0" w:space="0" w:color="auto"/>
            <w:left w:val="none" w:sz="0" w:space="0" w:color="auto"/>
            <w:bottom w:val="none" w:sz="0" w:space="0" w:color="auto"/>
            <w:right w:val="none" w:sz="0" w:space="0" w:color="auto"/>
          </w:divBdr>
        </w:div>
        <w:div w:id="691960574">
          <w:marLeft w:val="907"/>
          <w:marRight w:val="0"/>
          <w:marTop w:val="0"/>
          <w:marBottom w:val="101"/>
          <w:divBdr>
            <w:top w:val="none" w:sz="0" w:space="0" w:color="auto"/>
            <w:left w:val="none" w:sz="0" w:space="0" w:color="auto"/>
            <w:bottom w:val="none" w:sz="0" w:space="0" w:color="auto"/>
            <w:right w:val="none" w:sz="0" w:space="0" w:color="auto"/>
          </w:divBdr>
        </w:div>
        <w:div w:id="2111654082">
          <w:marLeft w:val="907"/>
          <w:marRight w:val="0"/>
          <w:marTop w:val="0"/>
          <w:marBottom w:val="101"/>
          <w:divBdr>
            <w:top w:val="none" w:sz="0" w:space="0" w:color="auto"/>
            <w:left w:val="none" w:sz="0" w:space="0" w:color="auto"/>
            <w:bottom w:val="none" w:sz="0" w:space="0" w:color="auto"/>
            <w:right w:val="none" w:sz="0" w:space="0" w:color="auto"/>
          </w:divBdr>
        </w:div>
        <w:div w:id="1400833588">
          <w:marLeft w:val="907"/>
          <w:marRight w:val="0"/>
          <w:marTop w:val="0"/>
          <w:marBottom w:val="101"/>
          <w:divBdr>
            <w:top w:val="none" w:sz="0" w:space="0" w:color="auto"/>
            <w:left w:val="none" w:sz="0" w:space="0" w:color="auto"/>
            <w:bottom w:val="none" w:sz="0" w:space="0" w:color="auto"/>
            <w:right w:val="none" w:sz="0" w:space="0" w:color="auto"/>
          </w:divBdr>
        </w:div>
        <w:div w:id="128791402">
          <w:marLeft w:val="907"/>
          <w:marRight w:val="0"/>
          <w:marTop w:val="0"/>
          <w:marBottom w:val="101"/>
          <w:divBdr>
            <w:top w:val="none" w:sz="0" w:space="0" w:color="auto"/>
            <w:left w:val="none" w:sz="0" w:space="0" w:color="auto"/>
            <w:bottom w:val="none" w:sz="0" w:space="0" w:color="auto"/>
            <w:right w:val="none" w:sz="0" w:space="0" w:color="auto"/>
          </w:divBdr>
        </w:div>
        <w:div w:id="2079281701">
          <w:marLeft w:val="907"/>
          <w:marRight w:val="0"/>
          <w:marTop w:val="0"/>
          <w:marBottom w:val="101"/>
          <w:divBdr>
            <w:top w:val="none" w:sz="0" w:space="0" w:color="auto"/>
            <w:left w:val="none" w:sz="0" w:space="0" w:color="auto"/>
            <w:bottom w:val="none" w:sz="0" w:space="0" w:color="auto"/>
            <w:right w:val="none" w:sz="0" w:space="0" w:color="auto"/>
          </w:divBdr>
        </w:div>
        <w:div w:id="1806117589">
          <w:marLeft w:val="907"/>
          <w:marRight w:val="0"/>
          <w:marTop w:val="0"/>
          <w:marBottom w:val="101"/>
          <w:divBdr>
            <w:top w:val="none" w:sz="0" w:space="0" w:color="auto"/>
            <w:left w:val="none" w:sz="0" w:space="0" w:color="auto"/>
            <w:bottom w:val="none" w:sz="0" w:space="0" w:color="auto"/>
            <w:right w:val="none" w:sz="0" w:space="0" w:color="auto"/>
          </w:divBdr>
        </w:div>
        <w:div w:id="1039015594">
          <w:marLeft w:val="907"/>
          <w:marRight w:val="0"/>
          <w:marTop w:val="0"/>
          <w:marBottom w:val="101"/>
          <w:divBdr>
            <w:top w:val="none" w:sz="0" w:space="0" w:color="auto"/>
            <w:left w:val="none" w:sz="0" w:space="0" w:color="auto"/>
            <w:bottom w:val="none" w:sz="0" w:space="0" w:color="auto"/>
            <w:right w:val="none" w:sz="0" w:space="0" w:color="auto"/>
          </w:divBdr>
        </w:div>
        <w:div w:id="2010055349">
          <w:marLeft w:val="907"/>
          <w:marRight w:val="0"/>
          <w:marTop w:val="0"/>
          <w:marBottom w:val="101"/>
          <w:divBdr>
            <w:top w:val="none" w:sz="0" w:space="0" w:color="auto"/>
            <w:left w:val="none" w:sz="0" w:space="0" w:color="auto"/>
            <w:bottom w:val="none" w:sz="0" w:space="0" w:color="auto"/>
            <w:right w:val="none" w:sz="0" w:space="0" w:color="auto"/>
          </w:divBdr>
        </w:div>
        <w:div w:id="1413967826">
          <w:marLeft w:val="907"/>
          <w:marRight w:val="0"/>
          <w:marTop w:val="0"/>
          <w:marBottom w:val="101"/>
          <w:divBdr>
            <w:top w:val="none" w:sz="0" w:space="0" w:color="auto"/>
            <w:left w:val="none" w:sz="0" w:space="0" w:color="auto"/>
            <w:bottom w:val="none" w:sz="0" w:space="0" w:color="auto"/>
            <w:right w:val="none" w:sz="0" w:space="0" w:color="auto"/>
          </w:divBdr>
        </w:div>
        <w:div w:id="2008046064">
          <w:marLeft w:val="907"/>
          <w:marRight w:val="0"/>
          <w:marTop w:val="0"/>
          <w:marBottom w:val="101"/>
          <w:divBdr>
            <w:top w:val="none" w:sz="0" w:space="0" w:color="auto"/>
            <w:left w:val="none" w:sz="0" w:space="0" w:color="auto"/>
            <w:bottom w:val="none" w:sz="0" w:space="0" w:color="auto"/>
            <w:right w:val="none" w:sz="0" w:space="0" w:color="auto"/>
          </w:divBdr>
        </w:div>
        <w:div w:id="1555265264">
          <w:marLeft w:val="907"/>
          <w:marRight w:val="0"/>
          <w:marTop w:val="0"/>
          <w:marBottom w:val="101"/>
          <w:divBdr>
            <w:top w:val="none" w:sz="0" w:space="0" w:color="auto"/>
            <w:left w:val="none" w:sz="0" w:space="0" w:color="auto"/>
            <w:bottom w:val="none" w:sz="0" w:space="0" w:color="auto"/>
            <w:right w:val="none" w:sz="0" w:space="0" w:color="auto"/>
          </w:divBdr>
        </w:div>
        <w:div w:id="89393093">
          <w:marLeft w:val="907"/>
          <w:marRight w:val="0"/>
          <w:marTop w:val="0"/>
          <w:marBottom w:val="101"/>
          <w:divBdr>
            <w:top w:val="none" w:sz="0" w:space="0" w:color="auto"/>
            <w:left w:val="none" w:sz="0" w:space="0" w:color="auto"/>
            <w:bottom w:val="none" w:sz="0" w:space="0" w:color="auto"/>
            <w:right w:val="none" w:sz="0" w:space="0" w:color="auto"/>
          </w:divBdr>
        </w:div>
        <w:div w:id="719128978">
          <w:marLeft w:val="907"/>
          <w:marRight w:val="0"/>
          <w:marTop w:val="0"/>
          <w:marBottom w:val="101"/>
          <w:divBdr>
            <w:top w:val="none" w:sz="0" w:space="0" w:color="auto"/>
            <w:left w:val="none" w:sz="0" w:space="0" w:color="auto"/>
            <w:bottom w:val="none" w:sz="0" w:space="0" w:color="auto"/>
            <w:right w:val="none" w:sz="0" w:space="0" w:color="auto"/>
          </w:divBdr>
        </w:div>
        <w:div w:id="747457494">
          <w:marLeft w:val="0"/>
          <w:marRight w:val="0"/>
          <w:marTop w:val="0"/>
          <w:marBottom w:val="101"/>
          <w:divBdr>
            <w:top w:val="none" w:sz="0" w:space="0" w:color="auto"/>
            <w:left w:val="none" w:sz="0" w:space="0" w:color="auto"/>
            <w:bottom w:val="none" w:sz="0" w:space="0" w:color="auto"/>
            <w:right w:val="none" w:sz="0" w:space="0" w:color="auto"/>
          </w:divBdr>
        </w:div>
        <w:div w:id="1899172600">
          <w:marLeft w:val="0"/>
          <w:marRight w:val="0"/>
          <w:marTop w:val="0"/>
          <w:marBottom w:val="101"/>
          <w:divBdr>
            <w:top w:val="none" w:sz="0" w:space="0" w:color="auto"/>
            <w:left w:val="none" w:sz="0" w:space="0" w:color="auto"/>
            <w:bottom w:val="single" w:sz="6" w:space="0" w:color="000000"/>
            <w:right w:val="none" w:sz="0" w:space="0" w:color="auto"/>
          </w:divBdr>
        </w:div>
        <w:div w:id="1033963924">
          <w:marLeft w:val="900"/>
          <w:marRight w:val="0"/>
          <w:marTop w:val="0"/>
          <w:marBottom w:val="101"/>
          <w:divBdr>
            <w:top w:val="none" w:sz="0" w:space="0" w:color="auto"/>
            <w:left w:val="none" w:sz="0" w:space="0" w:color="auto"/>
            <w:bottom w:val="none" w:sz="0" w:space="0" w:color="auto"/>
            <w:right w:val="none" w:sz="0" w:space="0" w:color="auto"/>
          </w:divBdr>
        </w:div>
        <w:div w:id="109202214">
          <w:marLeft w:val="900"/>
          <w:marRight w:val="0"/>
          <w:marTop w:val="0"/>
          <w:marBottom w:val="101"/>
          <w:divBdr>
            <w:top w:val="none" w:sz="0" w:space="0" w:color="auto"/>
            <w:left w:val="none" w:sz="0" w:space="0" w:color="auto"/>
            <w:bottom w:val="none" w:sz="0" w:space="0" w:color="auto"/>
            <w:right w:val="none" w:sz="0" w:space="0" w:color="auto"/>
          </w:divBdr>
        </w:div>
        <w:div w:id="128714107">
          <w:marLeft w:val="900"/>
          <w:marRight w:val="0"/>
          <w:marTop w:val="0"/>
          <w:marBottom w:val="101"/>
          <w:divBdr>
            <w:top w:val="none" w:sz="0" w:space="0" w:color="auto"/>
            <w:left w:val="none" w:sz="0" w:space="0" w:color="auto"/>
            <w:bottom w:val="none" w:sz="0" w:space="0" w:color="auto"/>
            <w:right w:val="none" w:sz="0" w:space="0" w:color="auto"/>
          </w:divBdr>
        </w:div>
        <w:div w:id="1542548760">
          <w:marLeft w:val="900"/>
          <w:marRight w:val="0"/>
          <w:marTop w:val="0"/>
          <w:marBottom w:val="101"/>
          <w:divBdr>
            <w:top w:val="none" w:sz="0" w:space="0" w:color="auto"/>
            <w:left w:val="none" w:sz="0" w:space="0" w:color="auto"/>
            <w:bottom w:val="none" w:sz="0" w:space="0" w:color="auto"/>
            <w:right w:val="none" w:sz="0" w:space="0" w:color="auto"/>
          </w:divBdr>
        </w:div>
        <w:div w:id="1508982571">
          <w:marLeft w:val="900"/>
          <w:marRight w:val="0"/>
          <w:marTop w:val="0"/>
          <w:marBottom w:val="101"/>
          <w:divBdr>
            <w:top w:val="none" w:sz="0" w:space="0" w:color="auto"/>
            <w:left w:val="none" w:sz="0" w:space="0" w:color="auto"/>
            <w:bottom w:val="none" w:sz="0" w:space="0" w:color="auto"/>
            <w:right w:val="none" w:sz="0" w:space="0" w:color="auto"/>
          </w:divBdr>
        </w:div>
        <w:div w:id="1762070527">
          <w:marLeft w:val="900"/>
          <w:marRight w:val="0"/>
          <w:marTop w:val="0"/>
          <w:marBottom w:val="101"/>
          <w:divBdr>
            <w:top w:val="none" w:sz="0" w:space="0" w:color="auto"/>
            <w:left w:val="none" w:sz="0" w:space="0" w:color="auto"/>
            <w:bottom w:val="none" w:sz="0" w:space="0" w:color="auto"/>
            <w:right w:val="none" w:sz="0" w:space="0" w:color="auto"/>
          </w:divBdr>
        </w:div>
        <w:div w:id="1231770406">
          <w:marLeft w:val="1260"/>
          <w:marRight w:val="0"/>
          <w:marTop w:val="0"/>
          <w:marBottom w:val="101"/>
          <w:divBdr>
            <w:top w:val="none" w:sz="0" w:space="0" w:color="auto"/>
            <w:left w:val="none" w:sz="0" w:space="0" w:color="auto"/>
            <w:bottom w:val="none" w:sz="0" w:space="0" w:color="auto"/>
            <w:right w:val="none" w:sz="0" w:space="0" w:color="auto"/>
          </w:divBdr>
        </w:div>
        <w:div w:id="1884321934">
          <w:marLeft w:val="1260"/>
          <w:marRight w:val="0"/>
          <w:marTop w:val="0"/>
          <w:marBottom w:val="101"/>
          <w:divBdr>
            <w:top w:val="none" w:sz="0" w:space="0" w:color="auto"/>
            <w:left w:val="none" w:sz="0" w:space="0" w:color="auto"/>
            <w:bottom w:val="none" w:sz="0" w:space="0" w:color="auto"/>
            <w:right w:val="none" w:sz="0" w:space="0" w:color="auto"/>
          </w:divBdr>
        </w:div>
        <w:div w:id="2080713048">
          <w:marLeft w:val="1260"/>
          <w:marRight w:val="0"/>
          <w:marTop w:val="0"/>
          <w:marBottom w:val="101"/>
          <w:divBdr>
            <w:top w:val="none" w:sz="0" w:space="0" w:color="auto"/>
            <w:left w:val="none" w:sz="0" w:space="0" w:color="auto"/>
            <w:bottom w:val="none" w:sz="0" w:space="0" w:color="auto"/>
            <w:right w:val="none" w:sz="0" w:space="0" w:color="auto"/>
          </w:divBdr>
        </w:div>
        <w:div w:id="400180775">
          <w:marLeft w:val="1260"/>
          <w:marRight w:val="0"/>
          <w:marTop w:val="0"/>
          <w:marBottom w:val="101"/>
          <w:divBdr>
            <w:top w:val="none" w:sz="0" w:space="0" w:color="auto"/>
            <w:left w:val="none" w:sz="0" w:space="0" w:color="auto"/>
            <w:bottom w:val="none" w:sz="0" w:space="0" w:color="auto"/>
            <w:right w:val="none" w:sz="0" w:space="0" w:color="auto"/>
          </w:divBdr>
        </w:div>
        <w:div w:id="1911228170">
          <w:marLeft w:val="1260"/>
          <w:marRight w:val="0"/>
          <w:marTop w:val="0"/>
          <w:marBottom w:val="101"/>
          <w:divBdr>
            <w:top w:val="none" w:sz="0" w:space="0" w:color="auto"/>
            <w:left w:val="none" w:sz="0" w:space="0" w:color="auto"/>
            <w:bottom w:val="none" w:sz="0" w:space="0" w:color="auto"/>
            <w:right w:val="none" w:sz="0" w:space="0" w:color="auto"/>
          </w:divBdr>
        </w:div>
        <w:div w:id="439489358">
          <w:marLeft w:val="1260"/>
          <w:marRight w:val="0"/>
          <w:marTop w:val="0"/>
          <w:marBottom w:val="101"/>
          <w:divBdr>
            <w:top w:val="none" w:sz="0" w:space="0" w:color="auto"/>
            <w:left w:val="none" w:sz="0" w:space="0" w:color="auto"/>
            <w:bottom w:val="none" w:sz="0" w:space="0" w:color="auto"/>
            <w:right w:val="none" w:sz="0" w:space="0" w:color="auto"/>
          </w:divBdr>
        </w:div>
        <w:div w:id="459958465">
          <w:marLeft w:val="900"/>
          <w:marRight w:val="0"/>
          <w:marTop w:val="0"/>
          <w:marBottom w:val="101"/>
          <w:divBdr>
            <w:top w:val="none" w:sz="0" w:space="0" w:color="auto"/>
            <w:left w:val="none" w:sz="0" w:space="0" w:color="auto"/>
            <w:bottom w:val="none" w:sz="0" w:space="0" w:color="auto"/>
            <w:right w:val="none" w:sz="0" w:space="0" w:color="auto"/>
          </w:divBdr>
        </w:div>
        <w:div w:id="1761027041">
          <w:marLeft w:val="0"/>
          <w:marRight w:val="0"/>
          <w:marTop w:val="0"/>
          <w:marBottom w:val="101"/>
          <w:divBdr>
            <w:top w:val="none" w:sz="0" w:space="0" w:color="auto"/>
            <w:left w:val="none" w:sz="0" w:space="0" w:color="auto"/>
            <w:bottom w:val="none" w:sz="0" w:space="0" w:color="auto"/>
            <w:right w:val="none" w:sz="0" w:space="0" w:color="auto"/>
          </w:divBdr>
        </w:div>
        <w:div w:id="270430234">
          <w:marLeft w:val="0"/>
          <w:marRight w:val="0"/>
          <w:marTop w:val="0"/>
          <w:marBottom w:val="101"/>
          <w:divBdr>
            <w:top w:val="none" w:sz="0" w:space="0" w:color="auto"/>
            <w:left w:val="none" w:sz="0" w:space="0" w:color="auto"/>
            <w:bottom w:val="none" w:sz="0" w:space="0" w:color="auto"/>
            <w:right w:val="none" w:sz="0" w:space="0" w:color="auto"/>
          </w:divBdr>
        </w:div>
        <w:div w:id="1118377869">
          <w:marLeft w:val="0"/>
          <w:marRight w:val="0"/>
          <w:marTop w:val="0"/>
          <w:marBottom w:val="101"/>
          <w:divBdr>
            <w:top w:val="none" w:sz="0" w:space="0" w:color="auto"/>
            <w:left w:val="none" w:sz="0" w:space="0" w:color="auto"/>
            <w:bottom w:val="none" w:sz="0" w:space="0" w:color="auto"/>
            <w:right w:val="none" w:sz="0" w:space="0" w:color="auto"/>
          </w:divBdr>
        </w:div>
        <w:div w:id="143090791">
          <w:marLeft w:val="0"/>
          <w:marRight w:val="0"/>
          <w:marTop w:val="0"/>
          <w:marBottom w:val="101"/>
          <w:divBdr>
            <w:top w:val="none" w:sz="0" w:space="0" w:color="auto"/>
            <w:left w:val="none" w:sz="0" w:space="0" w:color="auto"/>
            <w:bottom w:val="none" w:sz="0" w:space="0" w:color="auto"/>
            <w:right w:val="none" w:sz="0" w:space="0" w:color="auto"/>
          </w:divBdr>
        </w:div>
        <w:div w:id="2000965647">
          <w:marLeft w:val="0"/>
          <w:marRight w:val="0"/>
          <w:marTop w:val="0"/>
          <w:marBottom w:val="101"/>
          <w:divBdr>
            <w:top w:val="none" w:sz="0" w:space="0" w:color="auto"/>
            <w:left w:val="none" w:sz="0" w:space="0" w:color="auto"/>
            <w:bottom w:val="none" w:sz="0" w:space="0" w:color="auto"/>
            <w:right w:val="none" w:sz="0" w:space="0" w:color="auto"/>
          </w:divBdr>
        </w:div>
        <w:div w:id="7102785">
          <w:marLeft w:val="0"/>
          <w:marRight w:val="0"/>
          <w:marTop w:val="0"/>
          <w:marBottom w:val="101"/>
          <w:divBdr>
            <w:top w:val="none" w:sz="0" w:space="0" w:color="auto"/>
            <w:left w:val="none" w:sz="0" w:space="0" w:color="auto"/>
            <w:bottom w:val="none" w:sz="0" w:space="0" w:color="auto"/>
            <w:right w:val="none" w:sz="0" w:space="0" w:color="auto"/>
          </w:divBdr>
        </w:div>
        <w:div w:id="1231765800">
          <w:marLeft w:val="0"/>
          <w:marRight w:val="0"/>
          <w:marTop w:val="0"/>
          <w:marBottom w:val="101"/>
          <w:divBdr>
            <w:top w:val="none" w:sz="0" w:space="0" w:color="auto"/>
            <w:left w:val="none" w:sz="0" w:space="0" w:color="auto"/>
            <w:bottom w:val="none" w:sz="0" w:space="0" w:color="auto"/>
            <w:right w:val="none" w:sz="0" w:space="0" w:color="auto"/>
          </w:divBdr>
        </w:div>
        <w:div w:id="1166438482">
          <w:marLeft w:val="0"/>
          <w:marRight w:val="0"/>
          <w:marTop w:val="0"/>
          <w:marBottom w:val="101"/>
          <w:divBdr>
            <w:top w:val="none" w:sz="0" w:space="0" w:color="auto"/>
            <w:left w:val="none" w:sz="0" w:space="0" w:color="auto"/>
            <w:bottom w:val="none" w:sz="0" w:space="0" w:color="auto"/>
            <w:right w:val="none" w:sz="0" w:space="0" w:color="auto"/>
          </w:divBdr>
        </w:div>
        <w:div w:id="375129034">
          <w:marLeft w:val="0"/>
          <w:marRight w:val="0"/>
          <w:marTop w:val="0"/>
          <w:marBottom w:val="101"/>
          <w:divBdr>
            <w:top w:val="none" w:sz="0" w:space="0" w:color="auto"/>
            <w:left w:val="none" w:sz="0" w:space="0" w:color="auto"/>
            <w:bottom w:val="none" w:sz="0" w:space="0" w:color="auto"/>
            <w:right w:val="none" w:sz="0" w:space="0" w:color="auto"/>
          </w:divBdr>
        </w:div>
        <w:div w:id="1972859859">
          <w:marLeft w:val="0"/>
          <w:marRight w:val="0"/>
          <w:marTop w:val="0"/>
          <w:marBottom w:val="101"/>
          <w:divBdr>
            <w:top w:val="none" w:sz="0" w:space="0" w:color="auto"/>
            <w:left w:val="none" w:sz="0" w:space="0" w:color="auto"/>
            <w:bottom w:val="none" w:sz="0" w:space="0" w:color="auto"/>
            <w:right w:val="none" w:sz="0" w:space="0" w:color="auto"/>
          </w:divBdr>
        </w:div>
        <w:div w:id="131994094">
          <w:marLeft w:val="0"/>
          <w:marRight w:val="0"/>
          <w:marTop w:val="0"/>
          <w:marBottom w:val="101"/>
          <w:divBdr>
            <w:top w:val="none" w:sz="0" w:space="0" w:color="auto"/>
            <w:left w:val="none" w:sz="0" w:space="0" w:color="auto"/>
            <w:bottom w:val="none" w:sz="0" w:space="0" w:color="auto"/>
            <w:right w:val="none" w:sz="0" w:space="0" w:color="auto"/>
          </w:divBdr>
        </w:div>
        <w:div w:id="1517498400">
          <w:marLeft w:val="0"/>
          <w:marRight w:val="0"/>
          <w:marTop w:val="0"/>
          <w:marBottom w:val="101"/>
          <w:divBdr>
            <w:top w:val="none" w:sz="0" w:space="0" w:color="auto"/>
            <w:left w:val="none" w:sz="0" w:space="0" w:color="auto"/>
            <w:bottom w:val="none" w:sz="0" w:space="0" w:color="auto"/>
            <w:right w:val="none" w:sz="0" w:space="0" w:color="auto"/>
          </w:divBdr>
        </w:div>
        <w:div w:id="1519154435">
          <w:marLeft w:val="0"/>
          <w:marRight w:val="0"/>
          <w:marTop w:val="0"/>
          <w:marBottom w:val="101"/>
          <w:divBdr>
            <w:top w:val="none" w:sz="0" w:space="0" w:color="auto"/>
            <w:left w:val="none" w:sz="0" w:space="0" w:color="auto"/>
            <w:bottom w:val="none" w:sz="0" w:space="0" w:color="auto"/>
            <w:right w:val="none" w:sz="0" w:space="0" w:color="auto"/>
          </w:divBdr>
        </w:div>
        <w:div w:id="252319809">
          <w:marLeft w:val="0"/>
          <w:marRight w:val="0"/>
          <w:marTop w:val="0"/>
          <w:marBottom w:val="101"/>
          <w:divBdr>
            <w:top w:val="none" w:sz="0" w:space="0" w:color="auto"/>
            <w:left w:val="none" w:sz="0" w:space="0" w:color="auto"/>
            <w:bottom w:val="none" w:sz="0" w:space="0" w:color="auto"/>
            <w:right w:val="none" w:sz="0" w:space="0" w:color="auto"/>
          </w:divBdr>
        </w:div>
        <w:div w:id="47145382">
          <w:marLeft w:val="0"/>
          <w:marRight w:val="0"/>
          <w:marTop w:val="0"/>
          <w:marBottom w:val="101"/>
          <w:divBdr>
            <w:top w:val="none" w:sz="0" w:space="0" w:color="auto"/>
            <w:left w:val="none" w:sz="0" w:space="0" w:color="auto"/>
            <w:bottom w:val="none" w:sz="0" w:space="0" w:color="auto"/>
            <w:right w:val="none" w:sz="0" w:space="0" w:color="auto"/>
          </w:divBdr>
        </w:div>
        <w:div w:id="1273899223">
          <w:marLeft w:val="0"/>
          <w:marRight w:val="0"/>
          <w:marTop w:val="0"/>
          <w:marBottom w:val="101"/>
          <w:divBdr>
            <w:top w:val="none" w:sz="0" w:space="0" w:color="auto"/>
            <w:left w:val="none" w:sz="0" w:space="0" w:color="auto"/>
            <w:bottom w:val="none" w:sz="0" w:space="0" w:color="auto"/>
            <w:right w:val="none" w:sz="0" w:space="0" w:color="auto"/>
          </w:divBdr>
        </w:div>
        <w:div w:id="1516923305">
          <w:marLeft w:val="0"/>
          <w:marRight w:val="0"/>
          <w:marTop w:val="0"/>
          <w:marBottom w:val="101"/>
          <w:divBdr>
            <w:top w:val="none" w:sz="0" w:space="0" w:color="auto"/>
            <w:left w:val="none" w:sz="0" w:space="0" w:color="auto"/>
            <w:bottom w:val="none" w:sz="0" w:space="0" w:color="auto"/>
            <w:right w:val="none" w:sz="0" w:space="0" w:color="auto"/>
          </w:divBdr>
        </w:div>
        <w:div w:id="768896183">
          <w:marLeft w:val="0"/>
          <w:marRight w:val="0"/>
          <w:marTop w:val="0"/>
          <w:marBottom w:val="101"/>
          <w:divBdr>
            <w:top w:val="none" w:sz="0" w:space="0" w:color="auto"/>
            <w:left w:val="none" w:sz="0" w:space="0" w:color="auto"/>
            <w:bottom w:val="none" w:sz="0" w:space="0" w:color="auto"/>
            <w:right w:val="none" w:sz="0" w:space="0" w:color="auto"/>
          </w:divBdr>
        </w:div>
        <w:div w:id="1401171164">
          <w:marLeft w:val="0"/>
          <w:marRight w:val="0"/>
          <w:marTop w:val="0"/>
          <w:marBottom w:val="101"/>
          <w:divBdr>
            <w:top w:val="none" w:sz="0" w:space="0" w:color="auto"/>
            <w:left w:val="none" w:sz="0" w:space="0" w:color="auto"/>
            <w:bottom w:val="none" w:sz="0" w:space="0" w:color="auto"/>
            <w:right w:val="none" w:sz="0" w:space="0" w:color="auto"/>
          </w:divBdr>
        </w:div>
        <w:div w:id="2091148807">
          <w:marLeft w:val="0"/>
          <w:marRight w:val="0"/>
          <w:marTop w:val="0"/>
          <w:marBottom w:val="101"/>
          <w:divBdr>
            <w:top w:val="none" w:sz="0" w:space="0" w:color="auto"/>
            <w:left w:val="none" w:sz="0" w:space="0" w:color="auto"/>
            <w:bottom w:val="none" w:sz="0" w:space="0" w:color="auto"/>
            <w:right w:val="none" w:sz="0" w:space="0" w:color="auto"/>
          </w:divBdr>
        </w:div>
        <w:div w:id="983660266">
          <w:marLeft w:val="0"/>
          <w:marRight w:val="0"/>
          <w:marTop w:val="0"/>
          <w:marBottom w:val="101"/>
          <w:divBdr>
            <w:top w:val="none" w:sz="0" w:space="0" w:color="auto"/>
            <w:left w:val="none" w:sz="0" w:space="0" w:color="auto"/>
            <w:bottom w:val="none" w:sz="0" w:space="0" w:color="auto"/>
            <w:right w:val="none" w:sz="0" w:space="0" w:color="auto"/>
          </w:divBdr>
        </w:div>
        <w:div w:id="132333893">
          <w:marLeft w:val="0"/>
          <w:marRight w:val="0"/>
          <w:marTop w:val="0"/>
          <w:marBottom w:val="101"/>
          <w:divBdr>
            <w:top w:val="none" w:sz="0" w:space="0" w:color="auto"/>
            <w:left w:val="none" w:sz="0" w:space="0" w:color="auto"/>
            <w:bottom w:val="none" w:sz="0" w:space="0" w:color="auto"/>
            <w:right w:val="none" w:sz="0" w:space="0" w:color="auto"/>
          </w:divBdr>
        </w:div>
        <w:div w:id="248974771">
          <w:marLeft w:val="0"/>
          <w:marRight w:val="0"/>
          <w:marTop w:val="0"/>
          <w:marBottom w:val="101"/>
          <w:divBdr>
            <w:top w:val="none" w:sz="0" w:space="0" w:color="auto"/>
            <w:left w:val="none" w:sz="0" w:space="0" w:color="auto"/>
            <w:bottom w:val="none" w:sz="0" w:space="0" w:color="auto"/>
            <w:right w:val="none" w:sz="0" w:space="0" w:color="auto"/>
          </w:divBdr>
        </w:div>
        <w:div w:id="262693040">
          <w:marLeft w:val="0"/>
          <w:marRight w:val="0"/>
          <w:marTop w:val="0"/>
          <w:marBottom w:val="101"/>
          <w:divBdr>
            <w:top w:val="none" w:sz="0" w:space="0" w:color="auto"/>
            <w:left w:val="none" w:sz="0" w:space="0" w:color="auto"/>
            <w:bottom w:val="none" w:sz="0" w:space="0" w:color="auto"/>
            <w:right w:val="none" w:sz="0" w:space="0" w:color="auto"/>
          </w:divBdr>
        </w:div>
        <w:div w:id="1921520242">
          <w:marLeft w:val="0"/>
          <w:marRight w:val="0"/>
          <w:marTop w:val="0"/>
          <w:marBottom w:val="101"/>
          <w:divBdr>
            <w:top w:val="none" w:sz="0" w:space="0" w:color="auto"/>
            <w:left w:val="none" w:sz="0" w:space="0" w:color="auto"/>
            <w:bottom w:val="none" w:sz="0" w:space="0" w:color="auto"/>
            <w:right w:val="none" w:sz="0" w:space="0" w:color="auto"/>
          </w:divBdr>
        </w:div>
        <w:div w:id="617296875">
          <w:marLeft w:val="0"/>
          <w:marRight w:val="0"/>
          <w:marTop w:val="0"/>
          <w:marBottom w:val="101"/>
          <w:divBdr>
            <w:top w:val="none" w:sz="0" w:space="0" w:color="auto"/>
            <w:left w:val="none" w:sz="0" w:space="0" w:color="auto"/>
            <w:bottom w:val="none" w:sz="0" w:space="0" w:color="auto"/>
            <w:right w:val="none" w:sz="0" w:space="0" w:color="auto"/>
          </w:divBdr>
        </w:div>
        <w:div w:id="1696298992">
          <w:marLeft w:val="0"/>
          <w:marRight w:val="0"/>
          <w:marTop w:val="0"/>
          <w:marBottom w:val="101"/>
          <w:divBdr>
            <w:top w:val="none" w:sz="0" w:space="0" w:color="auto"/>
            <w:left w:val="none" w:sz="0" w:space="0" w:color="auto"/>
            <w:bottom w:val="none" w:sz="0" w:space="0" w:color="auto"/>
            <w:right w:val="none" w:sz="0" w:space="0" w:color="auto"/>
          </w:divBdr>
        </w:div>
        <w:div w:id="1596745775">
          <w:marLeft w:val="0"/>
          <w:marRight w:val="0"/>
          <w:marTop w:val="0"/>
          <w:marBottom w:val="101"/>
          <w:divBdr>
            <w:top w:val="none" w:sz="0" w:space="0" w:color="auto"/>
            <w:left w:val="none" w:sz="0" w:space="0" w:color="auto"/>
            <w:bottom w:val="none" w:sz="0" w:space="0" w:color="auto"/>
            <w:right w:val="none" w:sz="0" w:space="0" w:color="auto"/>
          </w:divBdr>
        </w:div>
        <w:div w:id="222914161">
          <w:marLeft w:val="0"/>
          <w:marRight w:val="0"/>
          <w:marTop w:val="0"/>
          <w:marBottom w:val="101"/>
          <w:divBdr>
            <w:top w:val="none" w:sz="0" w:space="0" w:color="auto"/>
            <w:left w:val="none" w:sz="0" w:space="0" w:color="auto"/>
            <w:bottom w:val="none" w:sz="0" w:space="0" w:color="auto"/>
            <w:right w:val="none" w:sz="0" w:space="0" w:color="auto"/>
          </w:divBdr>
        </w:div>
        <w:div w:id="693532105">
          <w:marLeft w:val="0"/>
          <w:marRight w:val="0"/>
          <w:marTop w:val="0"/>
          <w:marBottom w:val="101"/>
          <w:divBdr>
            <w:top w:val="none" w:sz="0" w:space="0" w:color="auto"/>
            <w:left w:val="none" w:sz="0" w:space="0" w:color="auto"/>
            <w:bottom w:val="none" w:sz="0" w:space="0" w:color="auto"/>
            <w:right w:val="none" w:sz="0" w:space="0" w:color="auto"/>
          </w:divBdr>
        </w:div>
        <w:div w:id="1032537156">
          <w:marLeft w:val="0"/>
          <w:marRight w:val="0"/>
          <w:marTop w:val="0"/>
          <w:marBottom w:val="101"/>
          <w:divBdr>
            <w:top w:val="none" w:sz="0" w:space="0" w:color="auto"/>
            <w:left w:val="none" w:sz="0" w:space="0" w:color="auto"/>
            <w:bottom w:val="none" w:sz="0" w:space="0" w:color="auto"/>
            <w:right w:val="none" w:sz="0" w:space="0" w:color="auto"/>
          </w:divBdr>
        </w:div>
        <w:div w:id="135151271">
          <w:marLeft w:val="0"/>
          <w:marRight w:val="0"/>
          <w:marTop w:val="0"/>
          <w:marBottom w:val="101"/>
          <w:divBdr>
            <w:top w:val="none" w:sz="0" w:space="0" w:color="auto"/>
            <w:left w:val="none" w:sz="0" w:space="0" w:color="auto"/>
            <w:bottom w:val="none" w:sz="0" w:space="0" w:color="auto"/>
            <w:right w:val="none" w:sz="0" w:space="0" w:color="auto"/>
          </w:divBdr>
        </w:div>
        <w:div w:id="630938616">
          <w:marLeft w:val="0"/>
          <w:marRight w:val="0"/>
          <w:marTop w:val="0"/>
          <w:marBottom w:val="101"/>
          <w:divBdr>
            <w:top w:val="none" w:sz="0" w:space="0" w:color="auto"/>
            <w:left w:val="none" w:sz="0" w:space="0" w:color="auto"/>
            <w:bottom w:val="none" w:sz="0" w:space="0" w:color="auto"/>
            <w:right w:val="none" w:sz="0" w:space="0" w:color="auto"/>
          </w:divBdr>
        </w:div>
        <w:div w:id="1269509013">
          <w:marLeft w:val="0"/>
          <w:marRight w:val="0"/>
          <w:marTop w:val="0"/>
          <w:marBottom w:val="101"/>
          <w:divBdr>
            <w:top w:val="none" w:sz="0" w:space="0" w:color="auto"/>
            <w:left w:val="none" w:sz="0" w:space="0" w:color="auto"/>
            <w:bottom w:val="none" w:sz="0" w:space="0" w:color="auto"/>
            <w:right w:val="none" w:sz="0" w:space="0" w:color="auto"/>
          </w:divBdr>
        </w:div>
        <w:div w:id="189420190">
          <w:marLeft w:val="0"/>
          <w:marRight w:val="0"/>
          <w:marTop w:val="0"/>
          <w:marBottom w:val="101"/>
          <w:divBdr>
            <w:top w:val="none" w:sz="0" w:space="0" w:color="auto"/>
            <w:left w:val="none" w:sz="0" w:space="0" w:color="auto"/>
            <w:bottom w:val="none" w:sz="0" w:space="0" w:color="auto"/>
            <w:right w:val="none" w:sz="0" w:space="0" w:color="auto"/>
          </w:divBdr>
        </w:div>
        <w:div w:id="443965971">
          <w:marLeft w:val="0"/>
          <w:marRight w:val="0"/>
          <w:marTop w:val="0"/>
          <w:marBottom w:val="101"/>
          <w:divBdr>
            <w:top w:val="none" w:sz="0" w:space="0" w:color="auto"/>
            <w:left w:val="none" w:sz="0" w:space="0" w:color="auto"/>
            <w:bottom w:val="none" w:sz="0" w:space="0" w:color="auto"/>
            <w:right w:val="none" w:sz="0" w:space="0" w:color="auto"/>
          </w:divBdr>
        </w:div>
        <w:div w:id="558905934">
          <w:marLeft w:val="0"/>
          <w:marRight w:val="0"/>
          <w:marTop w:val="0"/>
          <w:marBottom w:val="101"/>
          <w:divBdr>
            <w:top w:val="none" w:sz="0" w:space="0" w:color="auto"/>
            <w:left w:val="none" w:sz="0" w:space="0" w:color="auto"/>
            <w:bottom w:val="none" w:sz="0" w:space="0" w:color="auto"/>
            <w:right w:val="none" w:sz="0" w:space="0" w:color="auto"/>
          </w:divBdr>
        </w:div>
        <w:div w:id="1748070790">
          <w:marLeft w:val="0"/>
          <w:marRight w:val="0"/>
          <w:marTop w:val="0"/>
          <w:marBottom w:val="101"/>
          <w:divBdr>
            <w:top w:val="none" w:sz="0" w:space="0" w:color="auto"/>
            <w:left w:val="none" w:sz="0" w:space="0" w:color="auto"/>
            <w:bottom w:val="none" w:sz="0" w:space="0" w:color="auto"/>
            <w:right w:val="none" w:sz="0" w:space="0" w:color="auto"/>
          </w:divBdr>
        </w:div>
        <w:div w:id="1131551695">
          <w:marLeft w:val="0"/>
          <w:marRight w:val="0"/>
          <w:marTop w:val="0"/>
          <w:marBottom w:val="101"/>
          <w:divBdr>
            <w:top w:val="none" w:sz="0" w:space="0" w:color="auto"/>
            <w:left w:val="none" w:sz="0" w:space="0" w:color="auto"/>
            <w:bottom w:val="none" w:sz="0" w:space="0" w:color="auto"/>
            <w:right w:val="none" w:sz="0" w:space="0" w:color="auto"/>
          </w:divBdr>
        </w:div>
        <w:div w:id="1600409058">
          <w:marLeft w:val="0"/>
          <w:marRight w:val="0"/>
          <w:marTop w:val="0"/>
          <w:marBottom w:val="101"/>
          <w:divBdr>
            <w:top w:val="none" w:sz="0" w:space="0" w:color="auto"/>
            <w:left w:val="none" w:sz="0" w:space="0" w:color="auto"/>
            <w:bottom w:val="none" w:sz="0" w:space="0" w:color="auto"/>
            <w:right w:val="none" w:sz="0" w:space="0" w:color="auto"/>
          </w:divBdr>
        </w:div>
        <w:div w:id="64763436">
          <w:marLeft w:val="0"/>
          <w:marRight w:val="0"/>
          <w:marTop w:val="0"/>
          <w:marBottom w:val="101"/>
          <w:divBdr>
            <w:top w:val="none" w:sz="0" w:space="0" w:color="auto"/>
            <w:left w:val="none" w:sz="0" w:space="0" w:color="auto"/>
            <w:bottom w:val="none" w:sz="0" w:space="0" w:color="auto"/>
            <w:right w:val="none" w:sz="0" w:space="0" w:color="auto"/>
          </w:divBdr>
        </w:div>
        <w:div w:id="1039236099">
          <w:marLeft w:val="0"/>
          <w:marRight w:val="0"/>
          <w:marTop w:val="0"/>
          <w:marBottom w:val="101"/>
          <w:divBdr>
            <w:top w:val="none" w:sz="0" w:space="0" w:color="auto"/>
            <w:left w:val="none" w:sz="0" w:space="0" w:color="auto"/>
            <w:bottom w:val="none" w:sz="0" w:space="0" w:color="auto"/>
            <w:right w:val="none" w:sz="0" w:space="0" w:color="auto"/>
          </w:divBdr>
        </w:div>
        <w:div w:id="576749502">
          <w:marLeft w:val="0"/>
          <w:marRight w:val="0"/>
          <w:marTop w:val="0"/>
          <w:marBottom w:val="101"/>
          <w:divBdr>
            <w:top w:val="none" w:sz="0" w:space="0" w:color="auto"/>
            <w:left w:val="none" w:sz="0" w:space="0" w:color="auto"/>
            <w:bottom w:val="none" w:sz="0" w:space="0" w:color="auto"/>
            <w:right w:val="none" w:sz="0" w:space="0" w:color="auto"/>
          </w:divBdr>
        </w:div>
        <w:div w:id="1115948142">
          <w:marLeft w:val="0"/>
          <w:marRight w:val="0"/>
          <w:marTop w:val="0"/>
          <w:marBottom w:val="101"/>
          <w:divBdr>
            <w:top w:val="none" w:sz="0" w:space="0" w:color="auto"/>
            <w:left w:val="none" w:sz="0" w:space="0" w:color="auto"/>
            <w:bottom w:val="none" w:sz="0" w:space="0" w:color="auto"/>
            <w:right w:val="none" w:sz="0" w:space="0" w:color="auto"/>
          </w:divBdr>
        </w:div>
        <w:div w:id="200439036">
          <w:marLeft w:val="0"/>
          <w:marRight w:val="0"/>
          <w:marTop w:val="0"/>
          <w:marBottom w:val="101"/>
          <w:divBdr>
            <w:top w:val="none" w:sz="0" w:space="0" w:color="auto"/>
            <w:left w:val="none" w:sz="0" w:space="0" w:color="auto"/>
            <w:bottom w:val="none" w:sz="0" w:space="0" w:color="auto"/>
            <w:right w:val="none" w:sz="0" w:space="0" w:color="auto"/>
          </w:divBdr>
        </w:div>
        <w:div w:id="165437798">
          <w:marLeft w:val="0"/>
          <w:marRight w:val="0"/>
          <w:marTop w:val="0"/>
          <w:marBottom w:val="101"/>
          <w:divBdr>
            <w:top w:val="none" w:sz="0" w:space="0" w:color="auto"/>
            <w:left w:val="none" w:sz="0" w:space="0" w:color="auto"/>
            <w:bottom w:val="none" w:sz="0" w:space="0" w:color="auto"/>
            <w:right w:val="none" w:sz="0" w:space="0" w:color="auto"/>
          </w:divBdr>
        </w:div>
        <w:div w:id="837578055">
          <w:marLeft w:val="0"/>
          <w:marRight w:val="0"/>
          <w:marTop w:val="0"/>
          <w:marBottom w:val="101"/>
          <w:divBdr>
            <w:top w:val="none" w:sz="0" w:space="0" w:color="auto"/>
            <w:left w:val="none" w:sz="0" w:space="0" w:color="auto"/>
            <w:bottom w:val="none" w:sz="0" w:space="0" w:color="auto"/>
            <w:right w:val="none" w:sz="0" w:space="0" w:color="auto"/>
          </w:divBdr>
        </w:div>
        <w:div w:id="1506674423">
          <w:marLeft w:val="0"/>
          <w:marRight w:val="0"/>
          <w:marTop w:val="0"/>
          <w:marBottom w:val="101"/>
          <w:divBdr>
            <w:top w:val="none" w:sz="0" w:space="0" w:color="auto"/>
            <w:left w:val="none" w:sz="0" w:space="0" w:color="auto"/>
            <w:bottom w:val="none" w:sz="0" w:space="0" w:color="auto"/>
            <w:right w:val="none" w:sz="0" w:space="0" w:color="auto"/>
          </w:divBdr>
        </w:div>
        <w:div w:id="817263914">
          <w:marLeft w:val="900"/>
          <w:marRight w:val="0"/>
          <w:marTop w:val="0"/>
          <w:marBottom w:val="101"/>
          <w:divBdr>
            <w:top w:val="none" w:sz="0" w:space="0" w:color="auto"/>
            <w:left w:val="none" w:sz="0" w:space="0" w:color="auto"/>
            <w:bottom w:val="none" w:sz="0" w:space="0" w:color="auto"/>
            <w:right w:val="none" w:sz="0" w:space="0" w:color="auto"/>
          </w:divBdr>
        </w:div>
        <w:div w:id="1912227976">
          <w:marLeft w:val="900"/>
          <w:marRight w:val="0"/>
          <w:marTop w:val="0"/>
          <w:marBottom w:val="101"/>
          <w:divBdr>
            <w:top w:val="none" w:sz="0" w:space="0" w:color="auto"/>
            <w:left w:val="none" w:sz="0" w:space="0" w:color="auto"/>
            <w:bottom w:val="none" w:sz="0" w:space="0" w:color="auto"/>
            <w:right w:val="none" w:sz="0" w:space="0" w:color="auto"/>
          </w:divBdr>
        </w:div>
        <w:div w:id="399836552">
          <w:marLeft w:val="900"/>
          <w:marRight w:val="0"/>
          <w:marTop w:val="0"/>
          <w:marBottom w:val="101"/>
          <w:divBdr>
            <w:top w:val="none" w:sz="0" w:space="0" w:color="auto"/>
            <w:left w:val="none" w:sz="0" w:space="0" w:color="auto"/>
            <w:bottom w:val="none" w:sz="0" w:space="0" w:color="auto"/>
            <w:right w:val="none" w:sz="0" w:space="0" w:color="auto"/>
          </w:divBdr>
        </w:div>
        <w:div w:id="916936528">
          <w:marLeft w:val="900"/>
          <w:marRight w:val="0"/>
          <w:marTop w:val="0"/>
          <w:marBottom w:val="101"/>
          <w:divBdr>
            <w:top w:val="none" w:sz="0" w:space="0" w:color="auto"/>
            <w:left w:val="none" w:sz="0" w:space="0" w:color="auto"/>
            <w:bottom w:val="none" w:sz="0" w:space="0" w:color="auto"/>
            <w:right w:val="none" w:sz="0" w:space="0" w:color="auto"/>
          </w:divBdr>
        </w:div>
        <w:div w:id="1283533798">
          <w:marLeft w:val="900"/>
          <w:marRight w:val="0"/>
          <w:marTop w:val="0"/>
          <w:marBottom w:val="101"/>
          <w:divBdr>
            <w:top w:val="none" w:sz="0" w:space="0" w:color="auto"/>
            <w:left w:val="none" w:sz="0" w:space="0" w:color="auto"/>
            <w:bottom w:val="none" w:sz="0" w:space="0" w:color="auto"/>
            <w:right w:val="none" w:sz="0" w:space="0" w:color="auto"/>
          </w:divBdr>
        </w:div>
        <w:div w:id="641929734">
          <w:marLeft w:val="900"/>
          <w:marRight w:val="0"/>
          <w:marTop w:val="0"/>
          <w:marBottom w:val="101"/>
          <w:divBdr>
            <w:top w:val="none" w:sz="0" w:space="0" w:color="auto"/>
            <w:left w:val="none" w:sz="0" w:space="0" w:color="auto"/>
            <w:bottom w:val="none" w:sz="0" w:space="0" w:color="auto"/>
            <w:right w:val="none" w:sz="0" w:space="0" w:color="auto"/>
          </w:divBdr>
        </w:div>
        <w:div w:id="43647184">
          <w:marLeft w:val="900"/>
          <w:marRight w:val="0"/>
          <w:marTop w:val="0"/>
          <w:marBottom w:val="101"/>
          <w:divBdr>
            <w:top w:val="none" w:sz="0" w:space="0" w:color="auto"/>
            <w:left w:val="none" w:sz="0" w:space="0" w:color="auto"/>
            <w:bottom w:val="none" w:sz="0" w:space="0" w:color="auto"/>
            <w:right w:val="none" w:sz="0" w:space="0" w:color="auto"/>
          </w:divBdr>
        </w:div>
        <w:div w:id="711659677">
          <w:marLeft w:val="900"/>
          <w:marRight w:val="0"/>
          <w:marTop w:val="0"/>
          <w:marBottom w:val="101"/>
          <w:divBdr>
            <w:top w:val="none" w:sz="0" w:space="0" w:color="auto"/>
            <w:left w:val="none" w:sz="0" w:space="0" w:color="auto"/>
            <w:bottom w:val="none" w:sz="0" w:space="0" w:color="auto"/>
            <w:right w:val="none" w:sz="0" w:space="0" w:color="auto"/>
          </w:divBdr>
        </w:div>
        <w:div w:id="1763528158">
          <w:marLeft w:val="0"/>
          <w:marRight w:val="0"/>
          <w:marTop w:val="18"/>
          <w:marBottom w:val="101"/>
          <w:divBdr>
            <w:top w:val="none" w:sz="0" w:space="0" w:color="auto"/>
            <w:left w:val="none" w:sz="0" w:space="0" w:color="auto"/>
            <w:bottom w:val="none" w:sz="0" w:space="0" w:color="auto"/>
            <w:right w:val="none" w:sz="0" w:space="0" w:color="auto"/>
          </w:divBdr>
        </w:div>
        <w:div w:id="1416970512">
          <w:marLeft w:val="0"/>
          <w:marRight w:val="0"/>
          <w:marTop w:val="18"/>
          <w:marBottom w:val="101"/>
          <w:divBdr>
            <w:top w:val="none" w:sz="0" w:space="0" w:color="auto"/>
            <w:left w:val="none" w:sz="0" w:space="0" w:color="auto"/>
            <w:bottom w:val="none" w:sz="0" w:space="0" w:color="auto"/>
            <w:right w:val="none" w:sz="0" w:space="0" w:color="auto"/>
          </w:divBdr>
        </w:div>
        <w:div w:id="353767924">
          <w:marLeft w:val="0"/>
          <w:marRight w:val="0"/>
          <w:marTop w:val="18"/>
          <w:marBottom w:val="101"/>
          <w:divBdr>
            <w:top w:val="none" w:sz="0" w:space="0" w:color="auto"/>
            <w:left w:val="none" w:sz="0" w:space="0" w:color="auto"/>
            <w:bottom w:val="none" w:sz="0" w:space="0" w:color="auto"/>
            <w:right w:val="none" w:sz="0" w:space="0" w:color="auto"/>
          </w:divBdr>
        </w:div>
        <w:div w:id="1554540355">
          <w:marLeft w:val="0"/>
          <w:marRight w:val="0"/>
          <w:marTop w:val="18"/>
          <w:marBottom w:val="101"/>
          <w:divBdr>
            <w:top w:val="none" w:sz="0" w:space="0" w:color="auto"/>
            <w:left w:val="none" w:sz="0" w:space="0" w:color="auto"/>
            <w:bottom w:val="none" w:sz="0" w:space="0" w:color="auto"/>
            <w:right w:val="none" w:sz="0" w:space="0" w:color="auto"/>
          </w:divBdr>
        </w:div>
        <w:div w:id="789783400">
          <w:marLeft w:val="0"/>
          <w:marRight w:val="0"/>
          <w:marTop w:val="18"/>
          <w:marBottom w:val="101"/>
          <w:divBdr>
            <w:top w:val="none" w:sz="0" w:space="0" w:color="auto"/>
            <w:left w:val="none" w:sz="0" w:space="0" w:color="auto"/>
            <w:bottom w:val="none" w:sz="0" w:space="0" w:color="auto"/>
            <w:right w:val="none" w:sz="0" w:space="0" w:color="auto"/>
          </w:divBdr>
        </w:div>
        <w:div w:id="1590459929">
          <w:marLeft w:val="0"/>
          <w:marRight w:val="0"/>
          <w:marTop w:val="18"/>
          <w:marBottom w:val="101"/>
          <w:divBdr>
            <w:top w:val="none" w:sz="0" w:space="0" w:color="auto"/>
            <w:left w:val="none" w:sz="0" w:space="0" w:color="auto"/>
            <w:bottom w:val="none" w:sz="0" w:space="0" w:color="auto"/>
            <w:right w:val="none" w:sz="0" w:space="0" w:color="auto"/>
          </w:divBdr>
        </w:div>
        <w:div w:id="1043096583">
          <w:marLeft w:val="0"/>
          <w:marRight w:val="0"/>
          <w:marTop w:val="18"/>
          <w:marBottom w:val="101"/>
          <w:divBdr>
            <w:top w:val="none" w:sz="0" w:space="0" w:color="auto"/>
            <w:left w:val="none" w:sz="0" w:space="0" w:color="auto"/>
            <w:bottom w:val="none" w:sz="0" w:space="0" w:color="auto"/>
            <w:right w:val="none" w:sz="0" w:space="0" w:color="auto"/>
          </w:divBdr>
        </w:div>
        <w:div w:id="183633276">
          <w:marLeft w:val="0"/>
          <w:marRight w:val="0"/>
          <w:marTop w:val="18"/>
          <w:marBottom w:val="101"/>
          <w:divBdr>
            <w:top w:val="none" w:sz="0" w:space="0" w:color="auto"/>
            <w:left w:val="none" w:sz="0" w:space="0" w:color="auto"/>
            <w:bottom w:val="none" w:sz="0" w:space="0" w:color="auto"/>
            <w:right w:val="none" w:sz="0" w:space="0" w:color="auto"/>
          </w:divBdr>
        </w:div>
        <w:div w:id="1762331443">
          <w:marLeft w:val="0"/>
          <w:marRight w:val="0"/>
          <w:marTop w:val="18"/>
          <w:marBottom w:val="101"/>
          <w:divBdr>
            <w:top w:val="none" w:sz="0" w:space="0" w:color="auto"/>
            <w:left w:val="none" w:sz="0" w:space="0" w:color="auto"/>
            <w:bottom w:val="none" w:sz="0" w:space="0" w:color="auto"/>
            <w:right w:val="none" w:sz="0" w:space="0" w:color="auto"/>
          </w:divBdr>
        </w:div>
        <w:div w:id="725254121">
          <w:marLeft w:val="0"/>
          <w:marRight w:val="0"/>
          <w:marTop w:val="18"/>
          <w:marBottom w:val="101"/>
          <w:divBdr>
            <w:top w:val="none" w:sz="0" w:space="0" w:color="auto"/>
            <w:left w:val="none" w:sz="0" w:space="0" w:color="auto"/>
            <w:bottom w:val="none" w:sz="0" w:space="0" w:color="auto"/>
            <w:right w:val="none" w:sz="0" w:space="0" w:color="auto"/>
          </w:divBdr>
        </w:div>
        <w:div w:id="1251159635">
          <w:marLeft w:val="0"/>
          <w:marRight w:val="0"/>
          <w:marTop w:val="18"/>
          <w:marBottom w:val="101"/>
          <w:divBdr>
            <w:top w:val="none" w:sz="0" w:space="0" w:color="auto"/>
            <w:left w:val="none" w:sz="0" w:space="0" w:color="auto"/>
            <w:bottom w:val="none" w:sz="0" w:space="0" w:color="auto"/>
            <w:right w:val="none" w:sz="0" w:space="0" w:color="auto"/>
          </w:divBdr>
        </w:div>
        <w:div w:id="904757089">
          <w:marLeft w:val="0"/>
          <w:marRight w:val="0"/>
          <w:marTop w:val="0"/>
          <w:marBottom w:val="101"/>
          <w:divBdr>
            <w:top w:val="none" w:sz="0" w:space="0" w:color="auto"/>
            <w:left w:val="none" w:sz="0" w:space="0" w:color="auto"/>
            <w:bottom w:val="none" w:sz="0" w:space="0" w:color="auto"/>
            <w:right w:val="none" w:sz="0" w:space="0" w:color="auto"/>
          </w:divBdr>
        </w:div>
        <w:div w:id="1519390203">
          <w:marLeft w:val="900"/>
          <w:marRight w:val="0"/>
          <w:marTop w:val="0"/>
          <w:marBottom w:val="101"/>
          <w:divBdr>
            <w:top w:val="none" w:sz="0" w:space="0" w:color="auto"/>
            <w:left w:val="none" w:sz="0" w:space="0" w:color="auto"/>
            <w:bottom w:val="none" w:sz="0" w:space="0" w:color="auto"/>
            <w:right w:val="none" w:sz="0" w:space="0" w:color="auto"/>
          </w:divBdr>
        </w:div>
        <w:div w:id="1848010406">
          <w:marLeft w:val="900"/>
          <w:marRight w:val="0"/>
          <w:marTop w:val="0"/>
          <w:marBottom w:val="101"/>
          <w:divBdr>
            <w:top w:val="none" w:sz="0" w:space="0" w:color="auto"/>
            <w:left w:val="none" w:sz="0" w:space="0" w:color="auto"/>
            <w:bottom w:val="none" w:sz="0" w:space="0" w:color="auto"/>
            <w:right w:val="none" w:sz="0" w:space="0" w:color="auto"/>
          </w:divBdr>
        </w:div>
        <w:div w:id="584144687">
          <w:marLeft w:val="900"/>
          <w:marRight w:val="0"/>
          <w:marTop w:val="0"/>
          <w:marBottom w:val="101"/>
          <w:divBdr>
            <w:top w:val="none" w:sz="0" w:space="0" w:color="auto"/>
            <w:left w:val="none" w:sz="0" w:space="0" w:color="auto"/>
            <w:bottom w:val="none" w:sz="0" w:space="0" w:color="auto"/>
            <w:right w:val="none" w:sz="0" w:space="0" w:color="auto"/>
          </w:divBdr>
        </w:div>
        <w:div w:id="1476289838">
          <w:marLeft w:val="0"/>
          <w:marRight w:val="0"/>
          <w:marTop w:val="20"/>
          <w:marBottom w:val="101"/>
          <w:divBdr>
            <w:top w:val="none" w:sz="0" w:space="0" w:color="auto"/>
            <w:left w:val="none" w:sz="0" w:space="0" w:color="auto"/>
            <w:bottom w:val="none" w:sz="0" w:space="0" w:color="auto"/>
            <w:right w:val="none" w:sz="0" w:space="0" w:color="auto"/>
          </w:divBdr>
        </w:div>
        <w:div w:id="1299453251">
          <w:marLeft w:val="0"/>
          <w:marRight w:val="0"/>
          <w:marTop w:val="20"/>
          <w:marBottom w:val="101"/>
          <w:divBdr>
            <w:top w:val="none" w:sz="0" w:space="0" w:color="auto"/>
            <w:left w:val="none" w:sz="0" w:space="0" w:color="auto"/>
            <w:bottom w:val="none" w:sz="0" w:space="0" w:color="auto"/>
            <w:right w:val="none" w:sz="0" w:space="0" w:color="auto"/>
          </w:divBdr>
        </w:div>
        <w:div w:id="1199853413">
          <w:marLeft w:val="0"/>
          <w:marRight w:val="0"/>
          <w:marTop w:val="20"/>
          <w:marBottom w:val="101"/>
          <w:divBdr>
            <w:top w:val="none" w:sz="0" w:space="0" w:color="auto"/>
            <w:left w:val="none" w:sz="0" w:space="0" w:color="auto"/>
            <w:bottom w:val="none" w:sz="0" w:space="0" w:color="auto"/>
            <w:right w:val="none" w:sz="0" w:space="0" w:color="auto"/>
          </w:divBdr>
        </w:div>
        <w:div w:id="1906838107">
          <w:marLeft w:val="0"/>
          <w:marRight w:val="0"/>
          <w:marTop w:val="20"/>
          <w:marBottom w:val="101"/>
          <w:divBdr>
            <w:top w:val="none" w:sz="0" w:space="0" w:color="auto"/>
            <w:left w:val="none" w:sz="0" w:space="0" w:color="auto"/>
            <w:bottom w:val="none" w:sz="0" w:space="0" w:color="auto"/>
            <w:right w:val="none" w:sz="0" w:space="0" w:color="auto"/>
          </w:divBdr>
        </w:div>
        <w:div w:id="1022367158">
          <w:marLeft w:val="0"/>
          <w:marRight w:val="0"/>
          <w:marTop w:val="20"/>
          <w:marBottom w:val="101"/>
          <w:divBdr>
            <w:top w:val="none" w:sz="0" w:space="0" w:color="auto"/>
            <w:left w:val="none" w:sz="0" w:space="0" w:color="auto"/>
            <w:bottom w:val="none" w:sz="0" w:space="0" w:color="auto"/>
            <w:right w:val="none" w:sz="0" w:space="0" w:color="auto"/>
          </w:divBdr>
        </w:div>
        <w:div w:id="1848447896">
          <w:marLeft w:val="0"/>
          <w:marRight w:val="0"/>
          <w:marTop w:val="20"/>
          <w:marBottom w:val="101"/>
          <w:divBdr>
            <w:top w:val="none" w:sz="0" w:space="0" w:color="auto"/>
            <w:left w:val="none" w:sz="0" w:space="0" w:color="auto"/>
            <w:bottom w:val="none" w:sz="0" w:space="0" w:color="auto"/>
            <w:right w:val="none" w:sz="0" w:space="0" w:color="auto"/>
          </w:divBdr>
        </w:div>
        <w:div w:id="473641593">
          <w:marLeft w:val="0"/>
          <w:marRight w:val="0"/>
          <w:marTop w:val="20"/>
          <w:marBottom w:val="101"/>
          <w:divBdr>
            <w:top w:val="none" w:sz="0" w:space="0" w:color="auto"/>
            <w:left w:val="none" w:sz="0" w:space="0" w:color="auto"/>
            <w:bottom w:val="none" w:sz="0" w:space="0" w:color="auto"/>
            <w:right w:val="none" w:sz="0" w:space="0" w:color="auto"/>
          </w:divBdr>
        </w:div>
        <w:div w:id="1370303174">
          <w:marLeft w:val="0"/>
          <w:marRight w:val="0"/>
          <w:marTop w:val="20"/>
          <w:marBottom w:val="101"/>
          <w:divBdr>
            <w:top w:val="none" w:sz="0" w:space="0" w:color="auto"/>
            <w:left w:val="none" w:sz="0" w:space="0" w:color="auto"/>
            <w:bottom w:val="none" w:sz="0" w:space="0" w:color="auto"/>
            <w:right w:val="none" w:sz="0" w:space="0" w:color="auto"/>
          </w:divBdr>
        </w:div>
        <w:div w:id="295067946">
          <w:marLeft w:val="0"/>
          <w:marRight w:val="0"/>
          <w:marTop w:val="20"/>
          <w:marBottom w:val="101"/>
          <w:divBdr>
            <w:top w:val="none" w:sz="0" w:space="0" w:color="auto"/>
            <w:left w:val="none" w:sz="0" w:space="0" w:color="auto"/>
            <w:bottom w:val="none" w:sz="0" w:space="0" w:color="auto"/>
            <w:right w:val="none" w:sz="0" w:space="0" w:color="auto"/>
          </w:divBdr>
        </w:div>
        <w:div w:id="587542656">
          <w:marLeft w:val="0"/>
          <w:marRight w:val="0"/>
          <w:marTop w:val="20"/>
          <w:marBottom w:val="101"/>
          <w:divBdr>
            <w:top w:val="none" w:sz="0" w:space="0" w:color="auto"/>
            <w:left w:val="none" w:sz="0" w:space="0" w:color="auto"/>
            <w:bottom w:val="none" w:sz="0" w:space="0" w:color="auto"/>
            <w:right w:val="none" w:sz="0" w:space="0" w:color="auto"/>
          </w:divBdr>
        </w:div>
        <w:div w:id="858274134">
          <w:marLeft w:val="0"/>
          <w:marRight w:val="0"/>
          <w:marTop w:val="20"/>
          <w:marBottom w:val="101"/>
          <w:divBdr>
            <w:top w:val="none" w:sz="0" w:space="0" w:color="auto"/>
            <w:left w:val="none" w:sz="0" w:space="0" w:color="auto"/>
            <w:bottom w:val="none" w:sz="0" w:space="0" w:color="auto"/>
            <w:right w:val="none" w:sz="0" w:space="0" w:color="auto"/>
          </w:divBdr>
        </w:div>
        <w:div w:id="589311806">
          <w:marLeft w:val="0"/>
          <w:marRight w:val="0"/>
          <w:marTop w:val="20"/>
          <w:marBottom w:val="101"/>
          <w:divBdr>
            <w:top w:val="none" w:sz="0" w:space="0" w:color="auto"/>
            <w:left w:val="none" w:sz="0" w:space="0" w:color="auto"/>
            <w:bottom w:val="none" w:sz="0" w:space="0" w:color="auto"/>
            <w:right w:val="none" w:sz="0" w:space="0" w:color="auto"/>
          </w:divBdr>
        </w:div>
        <w:div w:id="2082168598">
          <w:marLeft w:val="0"/>
          <w:marRight w:val="0"/>
          <w:marTop w:val="20"/>
          <w:marBottom w:val="101"/>
          <w:divBdr>
            <w:top w:val="none" w:sz="0" w:space="0" w:color="auto"/>
            <w:left w:val="none" w:sz="0" w:space="0" w:color="auto"/>
            <w:bottom w:val="none" w:sz="0" w:space="0" w:color="auto"/>
            <w:right w:val="none" w:sz="0" w:space="0" w:color="auto"/>
          </w:divBdr>
        </w:div>
        <w:div w:id="2067561580">
          <w:marLeft w:val="0"/>
          <w:marRight w:val="0"/>
          <w:marTop w:val="20"/>
          <w:marBottom w:val="101"/>
          <w:divBdr>
            <w:top w:val="none" w:sz="0" w:space="0" w:color="auto"/>
            <w:left w:val="none" w:sz="0" w:space="0" w:color="auto"/>
            <w:bottom w:val="none" w:sz="0" w:space="0" w:color="auto"/>
            <w:right w:val="none" w:sz="0" w:space="0" w:color="auto"/>
          </w:divBdr>
        </w:div>
        <w:div w:id="311257445">
          <w:marLeft w:val="0"/>
          <w:marRight w:val="0"/>
          <w:marTop w:val="20"/>
          <w:marBottom w:val="101"/>
          <w:divBdr>
            <w:top w:val="none" w:sz="0" w:space="0" w:color="auto"/>
            <w:left w:val="none" w:sz="0" w:space="0" w:color="auto"/>
            <w:bottom w:val="none" w:sz="0" w:space="0" w:color="auto"/>
            <w:right w:val="none" w:sz="0" w:space="0" w:color="auto"/>
          </w:divBdr>
        </w:div>
        <w:div w:id="1751658456">
          <w:marLeft w:val="0"/>
          <w:marRight w:val="0"/>
          <w:marTop w:val="20"/>
          <w:marBottom w:val="101"/>
          <w:divBdr>
            <w:top w:val="none" w:sz="0" w:space="0" w:color="auto"/>
            <w:left w:val="none" w:sz="0" w:space="0" w:color="auto"/>
            <w:bottom w:val="none" w:sz="0" w:space="0" w:color="auto"/>
            <w:right w:val="none" w:sz="0" w:space="0" w:color="auto"/>
          </w:divBdr>
        </w:div>
        <w:div w:id="2080516609">
          <w:marLeft w:val="0"/>
          <w:marRight w:val="0"/>
          <w:marTop w:val="20"/>
          <w:marBottom w:val="101"/>
          <w:divBdr>
            <w:top w:val="none" w:sz="0" w:space="0" w:color="auto"/>
            <w:left w:val="none" w:sz="0" w:space="0" w:color="auto"/>
            <w:bottom w:val="none" w:sz="0" w:space="0" w:color="auto"/>
            <w:right w:val="none" w:sz="0" w:space="0" w:color="auto"/>
          </w:divBdr>
        </w:div>
        <w:div w:id="2095514584">
          <w:marLeft w:val="0"/>
          <w:marRight w:val="0"/>
          <w:marTop w:val="20"/>
          <w:marBottom w:val="101"/>
          <w:divBdr>
            <w:top w:val="none" w:sz="0" w:space="0" w:color="auto"/>
            <w:left w:val="none" w:sz="0" w:space="0" w:color="auto"/>
            <w:bottom w:val="none" w:sz="0" w:space="0" w:color="auto"/>
            <w:right w:val="none" w:sz="0" w:space="0" w:color="auto"/>
          </w:divBdr>
        </w:div>
        <w:div w:id="2114520345">
          <w:marLeft w:val="0"/>
          <w:marRight w:val="0"/>
          <w:marTop w:val="20"/>
          <w:marBottom w:val="101"/>
          <w:divBdr>
            <w:top w:val="none" w:sz="0" w:space="0" w:color="auto"/>
            <w:left w:val="none" w:sz="0" w:space="0" w:color="auto"/>
            <w:bottom w:val="none" w:sz="0" w:space="0" w:color="auto"/>
            <w:right w:val="none" w:sz="0" w:space="0" w:color="auto"/>
          </w:divBdr>
        </w:div>
        <w:div w:id="935749026">
          <w:marLeft w:val="0"/>
          <w:marRight w:val="0"/>
          <w:marTop w:val="20"/>
          <w:marBottom w:val="101"/>
          <w:divBdr>
            <w:top w:val="none" w:sz="0" w:space="0" w:color="auto"/>
            <w:left w:val="none" w:sz="0" w:space="0" w:color="auto"/>
            <w:bottom w:val="none" w:sz="0" w:space="0" w:color="auto"/>
            <w:right w:val="none" w:sz="0" w:space="0" w:color="auto"/>
          </w:divBdr>
        </w:div>
        <w:div w:id="211818240">
          <w:marLeft w:val="0"/>
          <w:marRight w:val="0"/>
          <w:marTop w:val="20"/>
          <w:marBottom w:val="101"/>
          <w:divBdr>
            <w:top w:val="none" w:sz="0" w:space="0" w:color="auto"/>
            <w:left w:val="none" w:sz="0" w:space="0" w:color="auto"/>
            <w:bottom w:val="none" w:sz="0" w:space="0" w:color="auto"/>
            <w:right w:val="none" w:sz="0" w:space="0" w:color="auto"/>
          </w:divBdr>
        </w:div>
        <w:div w:id="1633369477">
          <w:marLeft w:val="0"/>
          <w:marRight w:val="0"/>
          <w:marTop w:val="20"/>
          <w:marBottom w:val="101"/>
          <w:divBdr>
            <w:top w:val="none" w:sz="0" w:space="0" w:color="auto"/>
            <w:left w:val="none" w:sz="0" w:space="0" w:color="auto"/>
            <w:bottom w:val="none" w:sz="0" w:space="0" w:color="auto"/>
            <w:right w:val="none" w:sz="0" w:space="0" w:color="auto"/>
          </w:divBdr>
        </w:div>
        <w:div w:id="570384401">
          <w:marLeft w:val="0"/>
          <w:marRight w:val="0"/>
          <w:marTop w:val="20"/>
          <w:marBottom w:val="101"/>
          <w:divBdr>
            <w:top w:val="none" w:sz="0" w:space="0" w:color="auto"/>
            <w:left w:val="none" w:sz="0" w:space="0" w:color="auto"/>
            <w:bottom w:val="none" w:sz="0" w:space="0" w:color="auto"/>
            <w:right w:val="none" w:sz="0" w:space="0" w:color="auto"/>
          </w:divBdr>
        </w:div>
        <w:div w:id="26221636">
          <w:marLeft w:val="0"/>
          <w:marRight w:val="0"/>
          <w:marTop w:val="20"/>
          <w:marBottom w:val="101"/>
          <w:divBdr>
            <w:top w:val="none" w:sz="0" w:space="0" w:color="auto"/>
            <w:left w:val="none" w:sz="0" w:space="0" w:color="auto"/>
            <w:bottom w:val="none" w:sz="0" w:space="0" w:color="auto"/>
            <w:right w:val="none" w:sz="0" w:space="0" w:color="auto"/>
          </w:divBdr>
        </w:div>
        <w:div w:id="1826051388">
          <w:marLeft w:val="0"/>
          <w:marRight w:val="0"/>
          <w:marTop w:val="20"/>
          <w:marBottom w:val="101"/>
          <w:divBdr>
            <w:top w:val="none" w:sz="0" w:space="0" w:color="auto"/>
            <w:left w:val="none" w:sz="0" w:space="0" w:color="auto"/>
            <w:bottom w:val="none" w:sz="0" w:space="0" w:color="auto"/>
            <w:right w:val="none" w:sz="0" w:space="0" w:color="auto"/>
          </w:divBdr>
        </w:div>
        <w:div w:id="1922517066">
          <w:marLeft w:val="0"/>
          <w:marRight w:val="0"/>
          <w:marTop w:val="20"/>
          <w:marBottom w:val="101"/>
          <w:divBdr>
            <w:top w:val="none" w:sz="0" w:space="0" w:color="auto"/>
            <w:left w:val="none" w:sz="0" w:space="0" w:color="auto"/>
            <w:bottom w:val="none" w:sz="0" w:space="0" w:color="auto"/>
            <w:right w:val="none" w:sz="0" w:space="0" w:color="auto"/>
          </w:divBdr>
        </w:div>
        <w:div w:id="1486432860">
          <w:marLeft w:val="0"/>
          <w:marRight w:val="0"/>
          <w:marTop w:val="20"/>
          <w:marBottom w:val="101"/>
          <w:divBdr>
            <w:top w:val="none" w:sz="0" w:space="0" w:color="auto"/>
            <w:left w:val="none" w:sz="0" w:space="0" w:color="auto"/>
            <w:bottom w:val="none" w:sz="0" w:space="0" w:color="auto"/>
            <w:right w:val="none" w:sz="0" w:space="0" w:color="auto"/>
          </w:divBdr>
        </w:div>
        <w:div w:id="340396062">
          <w:marLeft w:val="0"/>
          <w:marRight w:val="0"/>
          <w:marTop w:val="20"/>
          <w:marBottom w:val="101"/>
          <w:divBdr>
            <w:top w:val="none" w:sz="0" w:space="0" w:color="auto"/>
            <w:left w:val="none" w:sz="0" w:space="0" w:color="auto"/>
            <w:bottom w:val="none" w:sz="0" w:space="0" w:color="auto"/>
            <w:right w:val="none" w:sz="0" w:space="0" w:color="auto"/>
          </w:divBdr>
        </w:div>
        <w:div w:id="1892425815">
          <w:marLeft w:val="0"/>
          <w:marRight w:val="0"/>
          <w:marTop w:val="20"/>
          <w:marBottom w:val="101"/>
          <w:divBdr>
            <w:top w:val="none" w:sz="0" w:space="0" w:color="auto"/>
            <w:left w:val="none" w:sz="0" w:space="0" w:color="auto"/>
            <w:bottom w:val="none" w:sz="0" w:space="0" w:color="auto"/>
            <w:right w:val="none" w:sz="0" w:space="0" w:color="auto"/>
          </w:divBdr>
        </w:div>
        <w:div w:id="788814949">
          <w:marLeft w:val="0"/>
          <w:marRight w:val="0"/>
          <w:marTop w:val="20"/>
          <w:marBottom w:val="101"/>
          <w:divBdr>
            <w:top w:val="none" w:sz="0" w:space="0" w:color="auto"/>
            <w:left w:val="none" w:sz="0" w:space="0" w:color="auto"/>
            <w:bottom w:val="none" w:sz="0" w:space="0" w:color="auto"/>
            <w:right w:val="none" w:sz="0" w:space="0" w:color="auto"/>
          </w:divBdr>
        </w:div>
        <w:div w:id="980572228">
          <w:marLeft w:val="0"/>
          <w:marRight w:val="0"/>
          <w:marTop w:val="20"/>
          <w:marBottom w:val="101"/>
          <w:divBdr>
            <w:top w:val="none" w:sz="0" w:space="0" w:color="auto"/>
            <w:left w:val="none" w:sz="0" w:space="0" w:color="auto"/>
            <w:bottom w:val="none" w:sz="0" w:space="0" w:color="auto"/>
            <w:right w:val="none" w:sz="0" w:space="0" w:color="auto"/>
          </w:divBdr>
        </w:div>
        <w:div w:id="1129933065">
          <w:marLeft w:val="0"/>
          <w:marRight w:val="0"/>
          <w:marTop w:val="20"/>
          <w:marBottom w:val="101"/>
          <w:divBdr>
            <w:top w:val="none" w:sz="0" w:space="0" w:color="auto"/>
            <w:left w:val="none" w:sz="0" w:space="0" w:color="auto"/>
            <w:bottom w:val="none" w:sz="0" w:space="0" w:color="auto"/>
            <w:right w:val="none" w:sz="0" w:space="0" w:color="auto"/>
          </w:divBdr>
        </w:div>
        <w:div w:id="600063152">
          <w:marLeft w:val="0"/>
          <w:marRight w:val="0"/>
          <w:marTop w:val="20"/>
          <w:marBottom w:val="101"/>
          <w:divBdr>
            <w:top w:val="none" w:sz="0" w:space="0" w:color="auto"/>
            <w:left w:val="none" w:sz="0" w:space="0" w:color="auto"/>
            <w:bottom w:val="none" w:sz="0" w:space="0" w:color="auto"/>
            <w:right w:val="none" w:sz="0" w:space="0" w:color="auto"/>
          </w:divBdr>
        </w:div>
        <w:div w:id="1295210751">
          <w:marLeft w:val="0"/>
          <w:marRight w:val="0"/>
          <w:marTop w:val="20"/>
          <w:marBottom w:val="101"/>
          <w:divBdr>
            <w:top w:val="none" w:sz="0" w:space="0" w:color="auto"/>
            <w:left w:val="none" w:sz="0" w:space="0" w:color="auto"/>
            <w:bottom w:val="none" w:sz="0" w:space="0" w:color="auto"/>
            <w:right w:val="none" w:sz="0" w:space="0" w:color="auto"/>
          </w:divBdr>
        </w:div>
        <w:div w:id="1202012997">
          <w:marLeft w:val="0"/>
          <w:marRight w:val="0"/>
          <w:marTop w:val="20"/>
          <w:marBottom w:val="101"/>
          <w:divBdr>
            <w:top w:val="none" w:sz="0" w:space="0" w:color="auto"/>
            <w:left w:val="none" w:sz="0" w:space="0" w:color="auto"/>
            <w:bottom w:val="none" w:sz="0" w:space="0" w:color="auto"/>
            <w:right w:val="none" w:sz="0" w:space="0" w:color="auto"/>
          </w:divBdr>
        </w:div>
        <w:div w:id="966856958">
          <w:marLeft w:val="0"/>
          <w:marRight w:val="0"/>
          <w:marTop w:val="20"/>
          <w:marBottom w:val="101"/>
          <w:divBdr>
            <w:top w:val="none" w:sz="0" w:space="0" w:color="auto"/>
            <w:left w:val="none" w:sz="0" w:space="0" w:color="auto"/>
            <w:bottom w:val="none" w:sz="0" w:space="0" w:color="auto"/>
            <w:right w:val="none" w:sz="0" w:space="0" w:color="auto"/>
          </w:divBdr>
        </w:div>
        <w:div w:id="1650205093">
          <w:marLeft w:val="0"/>
          <w:marRight w:val="0"/>
          <w:marTop w:val="20"/>
          <w:marBottom w:val="101"/>
          <w:divBdr>
            <w:top w:val="none" w:sz="0" w:space="0" w:color="auto"/>
            <w:left w:val="none" w:sz="0" w:space="0" w:color="auto"/>
            <w:bottom w:val="none" w:sz="0" w:space="0" w:color="auto"/>
            <w:right w:val="none" w:sz="0" w:space="0" w:color="auto"/>
          </w:divBdr>
        </w:div>
        <w:div w:id="1530988459">
          <w:marLeft w:val="0"/>
          <w:marRight w:val="0"/>
          <w:marTop w:val="20"/>
          <w:marBottom w:val="101"/>
          <w:divBdr>
            <w:top w:val="none" w:sz="0" w:space="0" w:color="auto"/>
            <w:left w:val="none" w:sz="0" w:space="0" w:color="auto"/>
            <w:bottom w:val="none" w:sz="0" w:space="0" w:color="auto"/>
            <w:right w:val="none" w:sz="0" w:space="0" w:color="auto"/>
          </w:divBdr>
        </w:div>
        <w:div w:id="1153522599">
          <w:marLeft w:val="0"/>
          <w:marRight w:val="0"/>
          <w:marTop w:val="20"/>
          <w:marBottom w:val="101"/>
          <w:divBdr>
            <w:top w:val="none" w:sz="0" w:space="0" w:color="auto"/>
            <w:left w:val="none" w:sz="0" w:space="0" w:color="auto"/>
            <w:bottom w:val="none" w:sz="0" w:space="0" w:color="auto"/>
            <w:right w:val="none" w:sz="0" w:space="0" w:color="auto"/>
          </w:divBdr>
        </w:div>
        <w:div w:id="1179278074">
          <w:marLeft w:val="0"/>
          <w:marRight w:val="0"/>
          <w:marTop w:val="20"/>
          <w:marBottom w:val="101"/>
          <w:divBdr>
            <w:top w:val="none" w:sz="0" w:space="0" w:color="auto"/>
            <w:left w:val="none" w:sz="0" w:space="0" w:color="auto"/>
            <w:bottom w:val="none" w:sz="0" w:space="0" w:color="auto"/>
            <w:right w:val="none" w:sz="0" w:space="0" w:color="auto"/>
          </w:divBdr>
        </w:div>
        <w:div w:id="1547520951">
          <w:marLeft w:val="0"/>
          <w:marRight w:val="0"/>
          <w:marTop w:val="20"/>
          <w:marBottom w:val="101"/>
          <w:divBdr>
            <w:top w:val="none" w:sz="0" w:space="0" w:color="auto"/>
            <w:left w:val="none" w:sz="0" w:space="0" w:color="auto"/>
            <w:bottom w:val="none" w:sz="0" w:space="0" w:color="auto"/>
            <w:right w:val="none" w:sz="0" w:space="0" w:color="auto"/>
          </w:divBdr>
        </w:div>
        <w:div w:id="343436808">
          <w:marLeft w:val="907"/>
          <w:marRight w:val="0"/>
          <w:marTop w:val="0"/>
          <w:marBottom w:val="101"/>
          <w:divBdr>
            <w:top w:val="none" w:sz="0" w:space="0" w:color="auto"/>
            <w:left w:val="none" w:sz="0" w:space="0" w:color="auto"/>
            <w:bottom w:val="none" w:sz="0" w:space="0" w:color="auto"/>
            <w:right w:val="none" w:sz="0" w:space="0" w:color="auto"/>
          </w:divBdr>
        </w:div>
        <w:div w:id="1569418294">
          <w:marLeft w:val="907"/>
          <w:marRight w:val="0"/>
          <w:marTop w:val="0"/>
          <w:marBottom w:val="101"/>
          <w:divBdr>
            <w:top w:val="none" w:sz="0" w:space="0" w:color="auto"/>
            <w:left w:val="none" w:sz="0" w:space="0" w:color="auto"/>
            <w:bottom w:val="none" w:sz="0" w:space="0" w:color="auto"/>
            <w:right w:val="none" w:sz="0" w:space="0" w:color="auto"/>
          </w:divBdr>
        </w:div>
        <w:div w:id="124087955">
          <w:marLeft w:val="907"/>
          <w:marRight w:val="0"/>
          <w:marTop w:val="0"/>
          <w:marBottom w:val="101"/>
          <w:divBdr>
            <w:top w:val="none" w:sz="0" w:space="0" w:color="auto"/>
            <w:left w:val="none" w:sz="0" w:space="0" w:color="auto"/>
            <w:bottom w:val="none" w:sz="0" w:space="0" w:color="auto"/>
            <w:right w:val="none" w:sz="0" w:space="0" w:color="auto"/>
          </w:divBdr>
        </w:div>
        <w:div w:id="723019345">
          <w:marLeft w:val="907"/>
          <w:marRight w:val="0"/>
          <w:marTop w:val="0"/>
          <w:marBottom w:val="101"/>
          <w:divBdr>
            <w:top w:val="none" w:sz="0" w:space="0" w:color="auto"/>
            <w:left w:val="none" w:sz="0" w:space="0" w:color="auto"/>
            <w:bottom w:val="none" w:sz="0" w:space="0" w:color="auto"/>
            <w:right w:val="none" w:sz="0" w:space="0" w:color="auto"/>
          </w:divBdr>
        </w:div>
        <w:div w:id="1224683254">
          <w:marLeft w:val="907"/>
          <w:marRight w:val="0"/>
          <w:marTop w:val="0"/>
          <w:marBottom w:val="101"/>
          <w:divBdr>
            <w:top w:val="none" w:sz="0" w:space="0" w:color="auto"/>
            <w:left w:val="none" w:sz="0" w:space="0" w:color="auto"/>
            <w:bottom w:val="none" w:sz="0" w:space="0" w:color="auto"/>
            <w:right w:val="none" w:sz="0" w:space="0" w:color="auto"/>
          </w:divBdr>
        </w:div>
        <w:div w:id="909274236">
          <w:marLeft w:val="907"/>
          <w:marRight w:val="0"/>
          <w:marTop w:val="0"/>
          <w:marBottom w:val="101"/>
          <w:divBdr>
            <w:top w:val="none" w:sz="0" w:space="0" w:color="auto"/>
            <w:left w:val="none" w:sz="0" w:space="0" w:color="auto"/>
            <w:bottom w:val="none" w:sz="0" w:space="0" w:color="auto"/>
            <w:right w:val="none" w:sz="0" w:space="0" w:color="auto"/>
          </w:divBdr>
        </w:div>
        <w:div w:id="74472532">
          <w:marLeft w:val="907"/>
          <w:marRight w:val="0"/>
          <w:marTop w:val="0"/>
          <w:marBottom w:val="101"/>
          <w:divBdr>
            <w:top w:val="none" w:sz="0" w:space="0" w:color="auto"/>
            <w:left w:val="none" w:sz="0" w:space="0" w:color="auto"/>
            <w:bottom w:val="none" w:sz="0" w:space="0" w:color="auto"/>
            <w:right w:val="none" w:sz="0" w:space="0" w:color="auto"/>
          </w:divBdr>
        </w:div>
        <w:div w:id="724598006">
          <w:marLeft w:val="0"/>
          <w:marRight w:val="0"/>
          <w:marTop w:val="58"/>
          <w:marBottom w:val="92"/>
          <w:divBdr>
            <w:top w:val="none" w:sz="0" w:space="0" w:color="auto"/>
            <w:left w:val="none" w:sz="0" w:space="0" w:color="auto"/>
            <w:bottom w:val="none" w:sz="0" w:space="0" w:color="auto"/>
            <w:right w:val="none" w:sz="0" w:space="0" w:color="auto"/>
          </w:divBdr>
        </w:div>
        <w:div w:id="335425649">
          <w:marLeft w:val="0"/>
          <w:marRight w:val="0"/>
          <w:marTop w:val="58"/>
          <w:marBottom w:val="92"/>
          <w:divBdr>
            <w:top w:val="none" w:sz="0" w:space="0" w:color="auto"/>
            <w:left w:val="none" w:sz="0" w:space="0" w:color="auto"/>
            <w:bottom w:val="none" w:sz="0" w:space="0" w:color="auto"/>
            <w:right w:val="none" w:sz="0" w:space="0" w:color="auto"/>
          </w:divBdr>
        </w:div>
        <w:div w:id="1784373896">
          <w:marLeft w:val="0"/>
          <w:marRight w:val="0"/>
          <w:marTop w:val="58"/>
          <w:marBottom w:val="92"/>
          <w:divBdr>
            <w:top w:val="none" w:sz="0" w:space="0" w:color="auto"/>
            <w:left w:val="none" w:sz="0" w:space="0" w:color="auto"/>
            <w:bottom w:val="none" w:sz="0" w:space="0" w:color="auto"/>
            <w:right w:val="none" w:sz="0" w:space="0" w:color="auto"/>
          </w:divBdr>
        </w:div>
        <w:div w:id="490217203">
          <w:marLeft w:val="0"/>
          <w:marRight w:val="0"/>
          <w:marTop w:val="58"/>
          <w:marBottom w:val="92"/>
          <w:divBdr>
            <w:top w:val="none" w:sz="0" w:space="0" w:color="auto"/>
            <w:left w:val="none" w:sz="0" w:space="0" w:color="auto"/>
            <w:bottom w:val="none" w:sz="0" w:space="0" w:color="auto"/>
            <w:right w:val="none" w:sz="0" w:space="0" w:color="auto"/>
          </w:divBdr>
        </w:div>
        <w:div w:id="1334188799">
          <w:marLeft w:val="0"/>
          <w:marRight w:val="0"/>
          <w:marTop w:val="58"/>
          <w:marBottom w:val="92"/>
          <w:divBdr>
            <w:top w:val="none" w:sz="0" w:space="0" w:color="auto"/>
            <w:left w:val="none" w:sz="0" w:space="0" w:color="auto"/>
            <w:bottom w:val="none" w:sz="0" w:space="0" w:color="auto"/>
            <w:right w:val="none" w:sz="0" w:space="0" w:color="auto"/>
          </w:divBdr>
        </w:div>
        <w:div w:id="1033308021">
          <w:marLeft w:val="0"/>
          <w:marRight w:val="0"/>
          <w:marTop w:val="58"/>
          <w:marBottom w:val="92"/>
          <w:divBdr>
            <w:top w:val="none" w:sz="0" w:space="0" w:color="auto"/>
            <w:left w:val="none" w:sz="0" w:space="0" w:color="auto"/>
            <w:bottom w:val="none" w:sz="0" w:space="0" w:color="auto"/>
            <w:right w:val="none" w:sz="0" w:space="0" w:color="auto"/>
          </w:divBdr>
        </w:div>
        <w:div w:id="274021580">
          <w:marLeft w:val="0"/>
          <w:marRight w:val="0"/>
          <w:marTop w:val="58"/>
          <w:marBottom w:val="92"/>
          <w:divBdr>
            <w:top w:val="none" w:sz="0" w:space="0" w:color="auto"/>
            <w:left w:val="none" w:sz="0" w:space="0" w:color="auto"/>
            <w:bottom w:val="none" w:sz="0" w:space="0" w:color="auto"/>
            <w:right w:val="none" w:sz="0" w:space="0" w:color="auto"/>
          </w:divBdr>
        </w:div>
        <w:div w:id="94252541">
          <w:marLeft w:val="0"/>
          <w:marRight w:val="0"/>
          <w:marTop w:val="58"/>
          <w:marBottom w:val="92"/>
          <w:divBdr>
            <w:top w:val="none" w:sz="0" w:space="0" w:color="auto"/>
            <w:left w:val="none" w:sz="0" w:space="0" w:color="auto"/>
            <w:bottom w:val="none" w:sz="0" w:space="0" w:color="auto"/>
            <w:right w:val="none" w:sz="0" w:space="0" w:color="auto"/>
          </w:divBdr>
        </w:div>
        <w:div w:id="1489322341">
          <w:marLeft w:val="0"/>
          <w:marRight w:val="0"/>
          <w:marTop w:val="58"/>
          <w:marBottom w:val="92"/>
          <w:divBdr>
            <w:top w:val="none" w:sz="0" w:space="0" w:color="auto"/>
            <w:left w:val="none" w:sz="0" w:space="0" w:color="auto"/>
            <w:bottom w:val="none" w:sz="0" w:space="0" w:color="auto"/>
            <w:right w:val="none" w:sz="0" w:space="0" w:color="auto"/>
          </w:divBdr>
        </w:div>
        <w:div w:id="1362130923">
          <w:marLeft w:val="0"/>
          <w:marRight w:val="0"/>
          <w:marTop w:val="58"/>
          <w:marBottom w:val="92"/>
          <w:divBdr>
            <w:top w:val="none" w:sz="0" w:space="0" w:color="auto"/>
            <w:left w:val="none" w:sz="0" w:space="0" w:color="auto"/>
            <w:bottom w:val="none" w:sz="0" w:space="0" w:color="auto"/>
            <w:right w:val="none" w:sz="0" w:space="0" w:color="auto"/>
          </w:divBdr>
        </w:div>
        <w:div w:id="523521434">
          <w:marLeft w:val="0"/>
          <w:marRight w:val="0"/>
          <w:marTop w:val="58"/>
          <w:marBottom w:val="92"/>
          <w:divBdr>
            <w:top w:val="none" w:sz="0" w:space="0" w:color="auto"/>
            <w:left w:val="none" w:sz="0" w:space="0" w:color="auto"/>
            <w:bottom w:val="none" w:sz="0" w:space="0" w:color="auto"/>
            <w:right w:val="none" w:sz="0" w:space="0" w:color="auto"/>
          </w:divBdr>
        </w:div>
        <w:div w:id="730619276">
          <w:marLeft w:val="0"/>
          <w:marRight w:val="0"/>
          <w:marTop w:val="58"/>
          <w:marBottom w:val="92"/>
          <w:divBdr>
            <w:top w:val="none" w:sz="0" w:space="0" w:color="auto"/>
            <w:left w:val="none" w:sz="0" w:space="0" w:color="auto"/>
            <w:bottom w:val="none" w:sz="0" w:space="0" w:color="auto"/>
            <w:right w:val="none" w:sz="0" w:space="0" w:color="auto"/>
          </w:divBdr>
        </w:div>
        <w:div w:id="1495489919">
          <w:marLeft w:val="0"/>
          <w:marRight w:val="0"/>
          <w:marTop w:val="58"/>
          <w:marBottom w:val="92"/>
          <w:divBdr>
            <w:top w:val="none" w:sz="0" w:space="0" w:color="auto"/>
            <w:left w:val="none" w:sz="0" w:space="0" w:color="auto"/>
            <w:bottom w:val="none" w:sz="0" w:space="0" w:color="auto"/>
            <w:right w:val="none" w:sz="0" w:space="0" w:color="auto"/>
          </w:divBdr>
        </w:div>
        <w:div w:id="9644956">
          <w:marLeft w:val="0"/>
          <w:marRight w:val="0"/>
          <w:marTop w:val="58"/>
          <w:marBottom w:val="92"/>
          <w:divBdr>
            <w:top w:val="none" w:sz="0" w:space="0" w:color="auto"/>
            <w:left w:val="none" w:sz="0" w:space="0" w:color="auto"/>
            <w:bottom w:val="none" w:sz="0" w:space="0" w:color="auto"/>
            <w:right w:val="none" w:sz="0" w:space="0" w:color="auto"/>
          </w:divBdr>
        </w:div>
        <w:div w:id="436364489">
          <w:marLeft w:val="0"/>
          <w:marRight w:val="0"/>
          <w:marTop w:val="58"/>
          <w:marBottom w:val="92"/>
          <w:divBdr>
            <w:top w:val="none" w:sz="0" w:space="0" w:color="auto"/>
            <w:left w:val="none" w:sz="0" w:space="0" w:color="auto"/>
            <w:bottom w:val="none" w:sz="0" w:space="0" w:color="auto"/>
            <w:right w:val="none" w:sz="0" w:space="0" w:color="auto"/>
          </w:divBdr>
        </w:div>
        <w:div w:id="652176697">
          <w:marLeft w:val="0"/>
          <w:marRight w:val="0"/>
          <w:marTop w:val="58"/>
          <w:marBottom w:val="92"/>
          <w:divBdr>
            <w:top w:val="none" w:sz="0" w:space="0" w:color="auto"/>
            <w:left w:val="none" w:sz="0" w:space="0" w:color="auto"/>
            <w:bottom w:val="none" w:sz="0" w:space="0" w:color="auto"/>
            <w:right w:val="none" w:sz="0" w:space="0" w:color="auto"/>
          </w:divBdr>
        </w:div>
        <w:div w:id="1221212510">
          <w:marLeft w:val="0"/>
          <w:marRight w:val="0"/>
          <w:marTop w:val="58"/>
          <w:marBottom w:val="92"/>
          <w:divBdr>
            <w:top w:val="none" w:sz="0" w:space="0" w:color="auto"/>
            <w:left w:val="none" w:sz="0" w:space="0" w:color="auto"/>
            <w:bottom w:val="none" w:sz="0" w:space="0" w:color="auto"/>
            <w:right w:val="none" w:sz="0" w:space="0" w:color="auto"/>
          </w:divBdr>
        </w:div>
        <w:div w:id="1669747807">
          <w:marLeft w:val="0"/>
          <w:marRight w:val="0"/>
          <w:marTop w:val="58"/>
          <w:marBottom w:val="92"/>
          <w:divBdr>
            <w:top w:val="none" w:sz="0" w:space="0" w:color="auto"/>
            <w:left w:val="none" w:sz="0" w:space="0" w:color="auto"/>
            <w:bottom w:val="none" w:sz="0" w:space="0" w:color="auto"/>
            <w:right w:val="none" w:sz="0" w:space="0" w:color="auto"/>
          </w:divBdr>
        </w:div>
        <w:div w:id="1852253770">
          <w:marLeft w:val="0"/>
          <w:marRight w:val="0"/>
          <w:marTop w:val="58"/>
          <w:marBottom w:val="92"/>
          <w:divBdr>
            <w:top w:val="none" w:sz="0" w:space="0" w:color="auto"/>
            <w:left w:val="none" w:sz="0" w:space="0" w:color="auto"/>
            <w:bottom w:val="none" w:sz="0" w:space="0" w:color="auto"/>
            <w:right w:val="none" w:sz="0" w:space="0" w:color="auto"/>
          </w:divBdr>
        </w:div>
        <w:div w:id="1405836021">
          <w:marLeft w:val="0"/>
          <w:marRight w:val="0"/>
          <w:marTop w:val="58"/>
          <w:marBottom w:val="92"/>
          <w:divBdr>
            <w:top w:val="none" w:sz="0" w:space="0" w:color="auto"/>
            <w:left w:val="none" w:sz="0" w:space="0" w:color="auto"/>
            <w:bottom w:val="none" w:sz="0" w:space="0" w:color="auto"/>
            <w:right w:val="none" w:sz="0" w:space="0" w:color="auto"/>
          </w:divBdr>
        </w:div>
        <w:div w:id="298994273">
          <w:marLeft w:val="0"/>
          <w:marRight w:val="0"/>
          <w:marTop w:val="58"/>
          <w:marBottom w:val="92"/>
          <w:divBdr>
            <w:top w:val="none" w:sz="0" w:space="0" w:color="auto"/>
            <w:left w:val="none" w:sz="0" w:space="0" w:color="auto"/>
            <w:bottom w:val="none" w:sz="0" w:space="0" w:color="auto"/>
            <w:right w:val="none" w:sz="0" w:space="0" w:color="auto"/>
          </w:divBdr>
        </w:div>
        <w:div w:id="27488102">
          <w:marLeft w:val="0"/>
          <w:marRight w:val="0"/>
          <w:marTop w:val="58"/>
          <w:marBottom w:val="92"/>
          <w:divBdr>
            <w:top w:val="none" w:sz="0" w:space="0" w:color="auto"/>
            <w:left w:val="none" w:sz="0" w:space="0" w:color="auto"/>
            <w:bottom w:val="none" w:sz="0" w:space="0" w:color="auto"/>
            <w:right w:val="none" w:sz="0" w:space="0" w:color="auto"/>
          </w:divBdr>
        </w:div>
        <w:div w:id="1370032371">
          <w:marLeft w:val="0"/>
          <w:marRight w:val="0"/>
          <w:marTop w:val="58"/>
          <w:marBottom w:val="92"/>
          <w:divBdr>
            <w:top w:val="none" w:sz="0" w:space="0" w:color="auto"/>
            <w:left w:val="none" w:sz="0" w:space="0" w:color="auto"/>
            <w:bottom w:val="none" w:sz="0" w:space="0" w:color="auto"/>
            <w:right w:val="none" w:sz="0" w:space="0" w:color="auto"/>
          </w:divBdr>
        </w:div>
        <w:div w:id="1822767390">
          <w:marLeft w:val="0"/>
          <w:marRight w:val="0"/>
          <w:marTop w:val="58"/>
          <w:marBottom w:val="92"/>
          <w:divBdr>
            <w:top w:val="none" w:sz="0" w:space="0" w:color="auto"/>
            <w:left w:val="none" w:sz="0" w:space="0" w:color="auto"/>
            <w:bottom w:val="none" w:sz="0" w:space="0" w:color="auto"/>
            <w:right w:val="none" w:sz="0" w:space="0" w:color="auto"/>
          </w:divBdr>
        </w:div>
        <w:div w:id="1141574227">
          <w:marLeft w:val="0"/>
          <w:marRight w:val="0"/>
          <w:marTop w:val="58"/>
          <w:marBottom w:val="92"/>
          <w:divBdr>
            <w:top w:val="none" w:sz="0" w:space="0" w:color="auto"/>
            <w:left w:val="none" w:sz="0" w:space="0" w:color="auto"/>
            <w:bottom w:val="none" w:sz="0" w:space="0" w:color="auto"/>
            <w:right w:val="none" w:sz="0" w:space="0" w:color="auto"/>
          </w:divBdr>
        </w:div>
        <w:div w:id="523204454">
          <w:marLeft w:val="0"/>
          <w:marRight w:val="0"/>
          <w:marTop w:val="58"/>
          <w:marBottom w:val="92"/>
          <w:divBdr>
            <w:top w:val="none" w:sz="0" w:space="0" w:color="auto"/>
            <w:left w:val="none" w:sz="0" w:space="0" w:color="auto"/>
            <w:bottom w:val="none" w:sz="0" w:space="0" w:color="auto"/>
            <w:right w:val="none" w:sz="0" w:space="0" w:color="auto"/>
          </w:divBdr>
        </w:div>
        <w:div w:id="726415024">
          <w:marLeft w:val="0"/>
          <w:marRight w:val="0"/>
          <w:marTop w:val="58"/>
          <w:marBottom w:val="92"/>
          <w:divBdr>
            <w:top w:val="none" w:sz="0" w:space="0" w:color="auto"/>
            <w:left w:val="none" w:sz="0" w:space="0" w:color="auto"/>
            <w:bottom w:val="none" w:sz="0" w:space="0" w:color="auto"/>
            <w:right w:val="none" w:sz="0" w:space="0" w:color="auto"/>
          </w:divBdr>
        </w:div>
        <w:div w:id="10690882">
          <w:marLeft w:val="0"/>
          <w:marRight w:val="0"/>
          <w:marTop w:val="58"/>
          <w:marBottom w:val="92"/>
          <w:divBdr>
            <w:top w:val="none" w:sz="0" w:space="0" w:color="auto"/>
            <w:left w:val="none" w:sz="0" w:space="0" w:color="auto"/>
            <w:bottom w:val="none" w:sz="0" w:space="0" w:color="auto"/>
            <w:right w:val="none" w:sz="0" w:space="0" w:color="auto"/>
          </w:divBdr>
        </w:div>
        <w:div w:id="1771579843">
          <w:marLeft w:val="0"/>
          <w:marRight w:val="0"/>
          <w:marTop w:val="58"/>
          <w:marBottom w:val="92"/>
          <w:divBdr>
            <w:top w:val="none" w:sz="0" w:space="0" w:color="auto"/>
            <w:left w:val="none" w:sz="0" w:space="0" w:color="auto"/>
            <w:bottom w:val="none" w:sz="0" w:space="0" w:color="auto"/>
            <w:right w:val="none" w:sz="0" w:space="0" w:color="auto"/>
          </w:divBdr>
        </w:div>
        <w:div w:id="682786633">
          <w:marLeft w:val="0"/>
          <w:marRight w:val="0"/>
          <w:marTop w:val="58"/>
          <w:marBottom w:val="92"/>
          <w:divBdr>
            <w:top w:val="none" w:sz="0" w:space="0" w:color="auto"/>
            <w:left w:val="none" w:sz="0" w:space="0" w:color="auto"/>
            <w:bottom w:val="none" w:sz="0" w:space="0" w:color="auto"/>
            <w:right w:val="none" w:sz="0" w:space="0" w:color="auto"/>
          </w:divBdr>
        </w:div>
        <w:div w:id="989942340">
          <w:marLeft w:val="0"/>
          <w:marRight w:val="0"/>
          <w:marTop w:val="58"/>
          <w:marBottom w:val="92"/>
          <w:divBdr>
            <w:top w:val="none" w:sz="0" w:space="0" w:color="auto"/>
            <w:left w:val="none" w:sz="0" w:space="0" w:color="auto"/>
            <w:bottom w:val="none" w:sz="0" w:space="0" w:color="auto"/>
            <w:right w:val="none" w:sz="0" w:space="0" w:color="auto"/>
          </w:divBdr>
        </w:div>
        <w:div w:id="1568808651">
          <w:marLeft w:val="0"/>
          <w:marRight w:val="0"/>
          <w:marTop w:val="58"/>
          <w:marBottom w:val="92"/>
          <w:divBdr>
            <w:top w:val="none" w:sz="0" w:space="0" w:color="auto"/>
            <w:left w:val="none" w:sz="0" w:space="0" w:color="auto"/>
            <w:bottom w:val="none" w:sz="0" w:space="0" w:color="auto"/>
            <w:right w:val="none" w:sz="0" w:space="0" w:color="auto"/>
          </w:divBdr>
        </w:div>
        <w:div w:id="1614631865">
          <w:marLeft w:val="0"/>
          <w:marRight w:val="0"/>
          <w:marTop w:val="58"/>
          <w:marBottom w:val="92"/>
          <w:divBdr>
            <w:top w:val="none" w:sz="0" w:space="0" w:color="auto"/>
            <w:left w:val="none" w:sz="0" w:space="0" w:color="auto"/>
            <w:bottom w:val="none" w:sz="0" w:space="0" w:color="auto"/>
            <w:right w:val="none" w:sz="0" w:space="0" w:color="auto"/>
          </w:divBdr>
        </w:div>
        <w:div w:id="129783554">
          <w:marLeft w:val="0"/>
          <w:marRight w:val="0"/>
          <w:marTop w:val="58"/>
          <w:marBottom w:val="92"/>
          <w:divBdr>
            <w:top w:val="none" w:sz="0" w:space="0" w:color="auto"/>
            <w:left w:val="none" w:sz="0" w:space="0" w:color="auto"/>
            <w:bottom w:val="none" w:sz="0" w:space="0" w:color="auto"/>
            <w:right w:val="none" w:sz="0" w:space="0" w:color="auto"/>
          </w:divBdr>
        </w:div>
        <w:div w:id="255209931">
          <w:marLeft w:val="0"/>
          <w:marRight w:val="0"/>
          <w:marTop w:val="58"/>
          <w:marBottom w:val="92"/>
          <w:divBdr>
            <w:top w:val="none" w:sz="0" w:space="0" w:color="auto"/>
            <w:left w:val="none" w:sz="0" w:space="0" w:color="auto"/>
            <w:bottom w:val="none" w:sz="0" w:space="0" w:color="auto"/>
            <w:right w:val="none" w:sz="0" w:space="0" w:color="auto"/>
          </w:divBdr>
        </w:div>
        <w:div w:id="539824316">
          <w:marLeft w:val="0"/>
          <w:marRight w:val="0"/>
          <w:marTop w:val="58"/>
          <w:marBottom w:val="92"/>
          <w:divBdr>
            <w:top w:val="none" w:sz="0" w:space="0" w:color="auto"/>
            <w:left w:val="none" w:sz="0" w:space="0" w:color="auto"/>
            <w:bottom w:val="none" w:sz="0" w:space="0" w:color="auto"/>
            <w:right w:val="none" w:sz="0" w:space="0" w:color="auto"/>
          </w:divBdr>
        </w:div>
        <w:div w:id="1998142017">
          <w:marLeft w:val="0"/>
          <w:marRight w:val="0"/>
          <w:marTop w:val="58"/>
          <w:marBottom w:val="92"/>
          <w:divBdr>
            <w:top w:val="none" w:sz="0" w:space="0" w:color="auto"/>
            <w:left w:val="none" w:sz="0" w:space="0" w:color="auto"/>
            <w:bottom w:val="none" w:sz="0" w:space="0" w:color="auto"/>
            <w:right w:val="none" w:sz="0" w:space="0" w:color="auto"/>
          </w:divBdr>
        </w:div>
        <w:div w:id="2037270542">
          <w:marLeft w:val="0"/>
          <w:marRight w:val="0"/>
          <w:marTop w:val="58"/>
          <w:marBottom w:val="92"/>
          <w:divBdr>
            <w:top w:val="none" w:sz="0" w:space="0" w:color="auto"/>
            <w:left w:val="none" w:sz="0" w:space="0" w:color="auto"/>
            <w:bottom w:val="none" w:sz="0" w:space="0" w:color="auto"/>
            <w:right w:val="none" w:sz="0" w:space="0" w:color="auto"/>
          </w:divBdr>
        </w:div>
        <w:div w:id="1480882430">
          <w:marLeft w:val="0"/>
          <w:marRight w:val="0"/>
          <w:marTop w:val="58"/>
          <w:marBottom w:val="92"/>
          <w:divBdr>
            <w:top w:val="none" w:sz="0" w:space="0" w:color="auto"/>
            <w:left w:val="none" w:sz="0" w:space="0" w:color="auto"/>
            <w:bottom w:val="none" w:sz="0" w:space="0" w:color="auto"/>
            <w:right w:val="none" w:sz="0" w:space="0" w:color="auto"/>
          </w:divBdr>
        </w:div>
        <w:div w:id="208997440">
          <w:marLeft w:val="0"/>
          <w:marRight w:val="0"/>
          <w:marTop w:val="58"/>
          <w:marBottom w:val="92"/>
          <w:divBdr>
            <w:top w:val="none" w:sz="0" w:space="0" w:color="auto"/>
            <w:left w:val="none" w:sz="0" w:space="0" w:color="auto"/>
            <w:bottom w:val="none" w:sz="0" w:space="0" w:color="auto"/>
            <w:right w:val="none" w:sz="0" w:space="0" w:color="auto"/>
          </w:divBdr>
        </w:div>
        <w:div w:id="233206470">
          <w:marLeft w:val="0"/>
          <w:marRight w:val="0"/>
          <w:marTop w:val="58"/>
          <w:marBottom w:val="92"/>
          <w:divBdr>
            <w:top w:val="none" w:sz="0" w:space="0" w:color="auto"/>
            <w:left w:val="none" w:sz="0" w:space="0" w:color="auto"/>
            <w:bottom w:val="none" w:sz="0" w:space="0" w:color="auto"/>
            <w:right w:val="none" w:sz="0" w:space="0" w:color="auto"/>
          </w:divBdr>
        </w:div>
        <w:div w:id="1225986029">
          <w:marLeft w:val="0"/>
          <w:marRight w:val="0"/>
          <w:marTop w:val="58"/>
          <w:marBottom w:val="92"/>
          <w:divBdr>
            <w:top w:val="none" w:sz="0" w:space="0" w:color="auto"/>
            <w:left w:val="none" w:sz="0" w:space="0" w:color="auto"/>
            <w:bottom w:val="none" w:sz="0" w:space="0" w:color="auto"/>
            <w:right w:val="none" w:sz="0" w:space="0" w:color="auto"/>
          </w:divBdr>
        </w:div>
        <w:div w:id="2059698051">
          <w:marLeft w:val="0"/>
          <w:marRight w:val="0"/>
          <w:marTop w:val="58"/>
          <w:marBottom w:val="92"/>
          <w:divBdr>
            <w:top w:val="none" w:sz="0" w:space="0" w:color="auto"/>
            <w:left w:val="none" w:sz="0" w:space="0" w:color="auto"/>
            <w:bottom w:val="none" w:sz="0" w:space="0" w:color="auto"/>
            <w:right w:val="none" w:sz="0" w:space="0" w:color="auto"/>
          </w:divBdr>
        </w:div>
        <w:div w:id="253973709">
          <w:marLeft w:val="0"/>
          <w:marRight w:val="0"/>
          <w:marTop w:val="58"/>
          <w:marBottom w:val="92"/>
          <w:divBdr>
            <w:top w:val="none" w:sz="0" w:space="0" w:color="auto"/>
            <w:left w:val="none" w:sz="0" w:space="0" w:color="auto"/>
            <w:bottom w:val="none" w:sz="0" w:space="0" w:color="auto"/>
            <w:right w:val="none" w:sz="0" w:space="0" w:color="auto"/>
          </w:divBdr>
        </w:div>
        <w:div w:id="1657224058">
          <w:marLeft w:val="0"/>
          <w:marRight w:val="0"/>
          <w:marTop w:val="58"/>
          <w:marBottom w:val="92"/>
          <w:divBdr>
            <w:top w:val="none" w:sz="0" w:space="0" w:color="auto"/>
            <w:left w:val="none" w:sz="0" w:space="0" w:color="auto"/>
            <w:bottom w:val="none" w:sz="0" w:space="0" w:color="auto"/>
            <w:right w:val="none" w:sz="0" w:space="0" w:color="auto"/>
          </w:divBdr>
        </w:div>
        <w:div w:id="1655331282">
          <w:marLeft w:val="0"/>
          <w:marRight w:val="0"/>
          <w:marTop w:val="58"/>
          <w:marBottom w:val="92"/>
          <w:divBdr>
            <w:top w:val="none" w:sz="0" w:space="0" w:color="auto"/>
            <w:left w:val="none" w:sz="0" w:space="0" w:color="auto"/>
            <w:bottom w:val="none" w:sz="0" w:space="0" w:color="auto"/>
            <w:right w:val="none" w:sz="0" w:space="0" w:color="auto"/>
          </w:divBdr>
        </w:div>
        <w:div w:id="1783458000">
          <w:marLeft w:val="0"/>
          <w:marRight w:val="0"/>
          <w:marTop w:val="58"/>
          <w:marBottom w:val="92"/>
          <w:divBdr>
            <w:top w:val="none" w:sz="0" w:space="0" w:color="auto"/>
            <w:left w:val="none" w:sz="0" w:space="0" w:color="auto"/>
            <w:bottom w:val="none" w:sz="0" w:space="0" w:color="auto"/>
            <w:right w:val="none" w:sz="0" w:space="0" w:color="auto"/>
          </w:divBdr>
        </w:div>
        <w:div w:id="1307590484">
          <w:marLeft w:val="0"/>
          <w:marRight w:val="0"/>
          <w:marTop w:val="58"/>
          <w:marBottom w:val="92"/>
          <w:divBdr>
            <w:top w:val="none" w:sz="0" w:space="0" w:color="auto"/>
            <w:left w:val="none" w:sz="0" w:space="0" w:color="auto"/>
            <w:bottom w:val="none" w:sz="0" w:space="0" w:color="auto"/>
            <w:right w:val="none" w:sz="0" w:space="0" w:color="auto"/>
          </w:divBdr>
        </w:div>
        <w:div w:id="156462045">
          <w:marLeft w:val="0"/>
          <w:marRight w:val="0"/>
          <w:marTop w:val="58"/>
          <w:marBottom w:val="92"/>
          <w:divBdr>
            <w:top w:val="none" w:sz="0" w:space="0" w:color="auto"/>
            <w:left w:val="none" w:sz="0" w:space="0" w:color="auto"/>
            <w:bottom w:val="none" w:sz="0" w:space="0" w:color="auto"/>
            <w:right w:val="none" w:sz="0" w:space="0" w:color="auto"/>
          </w:divBdr>
        </w:div>
        <w:div w:id="509879893">
          <w:marLeft w:val="0"/>
          <w:marRight w:val="0"/>
          <w:marTop w:val="58"/>
          <w:marBottom w:val="92"/>
          <w:divBdr>
            <w:top w:val="none" w:sz="0" w:space="0" w:color="auto"/>
            <w:left w:val="none" w:sz="0" w:space="0" w:color="auto"/>
            <w:bottom w:val="none" w:sz="0" w:space="0" w:color="auto"/>
            <w:right w:val="none" w:sz="0" w:space="0" w:color="auto"/>
          </w:divBdr>
        </w:div>
        <w:div w:id="380984765">
          <w:marLeft w:val="0"/>
          <w:marRight w:val="0"/>
          <w:marTop w:val="58"/>
          <w:marBottom w:val="92"/>
          <w:divBdr>
            <w:top w:val="none" w:sz="0" w:space="0" w:color="auto"/>
            <w:left w:val="none" w:sz="0" w:space="0" w:color="auto"/>
            <w:bottom w:val="none" w:sz="0" w:space="0" w:color="auto"/>
            <w:right w:val="none" w:sz="0" w:space="0" w:color="auto"/>
          </w:divBdr>
        </w:div>
        <w:div w:id="1100643009">
          <w:marLeft w:val="0"/>
          <w:marRight w:val="0"/>
          <w:marTop w:val="0"/>
          <w:marBottom w:val="101"/>
          <w:divBdr>
            <w:top w:val="none" w:sz="0" w:space="0" w:color="auto"/>
            <w:left w:val="none" w:sz="0" w:space="0" w:color="auto"/>
            <w:bottom w:val="none" w:sz="0" w:space="0" w:color="auto"/>
            <w:right w:val="none" w:sz="0" w:space="0" w:color="auto"/>
          </w:divBdr>
        </w:div>
        <w:div w:id="2012101768">
          <w:marLeft w:val="900"/>
          <w:marRight w:val="0"/>
          <w:marTop w:val="0"/>
          <w:marBottom w:val="101"/>
          <w:divBdr>
            <w:top w:val="none" w:sz="0" w:space="0" w:color="auto"/>
            <w:left w:val="none" w:sz="0" w:space="0" w:color="auto"/>
            <w:bottom w:val="none" w:sz="0" w:space="0" w:color="auto"/>
            <w:right w:val="none" w:sz="0" w:space="0" w:color="auto"/>
          </w:divBdr>
        </w:div>
        <w:div w:id="1279264967">
          <w:marLeft w:val="900"/>
          <w:marRight w:val="0"/>
          <w:marTop w:val="0"/>
          <w:marBottom w:val="101"/>
          <w:divBdr>
            <w:top w:val="none" w:sz="0" w:space="0" w:color="auto"/>
            <w:left w:val="none" w:sz="0" w:space="0" w:color="auto"/>
            <w:bottom w:val="none" w:sz="0" w:space="0" w:color="auto"/>
            <w:right w:val="none" w:sz="0" w:space="0" w:color="auto"/>
          </w:divBdr>
        </w:div>
        <w:div w:id="1136071554">
          <w:marLeft w:val="900"/>
          <w:marRight w:val="0"/>
          <w:marTop w:val="0"/>
          <w:marBottom w:val="101"/>
          <w:divBdr>
            <w:top w:val="none" w:sz="0" w:space="0" w:color="auto"/>
            <w:left w:val="none" w:sz="0" w:space="0" w:color="auto"/>
            <w:bottom w:val="none" w:sz="0" w:space="0" w:color="auto"/>
            <w:right w:val="none" w:sz="0" w:space="0" w:color="auto"/>
          </w:divBdr>
        </w:div>
        <w:div w:id="2034962233">
          <w:marLeft w:val="900"/>
          <w:marRight w:val="0"/>
          <w:marTop w:val="0"/>
          <w:marBottom w:val="101"/>
          <w:divBdr>
            <w:top w:val="none" w:sz="0" w:space="0" w:color="auto"/>
            <w:left w:val="none" w:sz="0" w:space="0" w:color="auto"/>
            <w:bottom w:val="none" w:sz="0" w:space="0" w:color="auto"/>
            <w:right w:val="none" w:sz="0" w:space="0" w:color="auto"/>
          </w:divBdr>
        </w:div>
        <w:div w:id="2023580367">
          <w:marLeft w:val="907"/>
          <w:marRight w:val="0"/>
          <w:marTop w:val="0"/>
          <w:marBottom w:val="101"/>
          <w:divBdr>
            <w:top w:val="none" w:sz="0" w:space="0" w:color="auto"/>
            <w:left w:val="none" w:sz="0" w:space="0" w:color="auto"/>
            <w:bottom w:val="none" w:sz="0" w:space="0" w:color="auto"/>
            <w:right w:val="none" w:sz="0" w:space="0" w:color="auto"/>
          </w:divBdr>
        </w:div>
        <w:div w:id="1296526547">
          <w:marLeft w:val="907"/>
          <w:marRight w:val="0"/>
          <w:marTop w:val="0"/>
          <w:marBottom w:val="101"/>
          <w:divBdr>
            <w:top w:val="none" w:sz="0" w:space="0" w:color="auto"/>
            <w:left w:val="none" w:sz="0" w:space="0" w:color="auto"/>
            <w:bottom w:val="none" w:sz="0" w:space="0" w:color="auto"/>
            <w:right w:val="none" w:sz="0" w:space="0" w:color="auto"/>
          </w:divBdr>
        </w:div>
        <w:div w:id="1914200055">
          <w:marLeft w:val="907"/>
          <w:marRight w:val="0"/>
          <w:marTop w:val="0"/>
          <w:marBottom w:val="101"/>
          <w:divBdr>
            <w:top w:val="none" w:sz="0" w:space="0" w:color="auto"/>
            <w:left w:val="none" w:sz="0" w:space="0" w:color="auto"/>
            <w:bottom w:val="none" w:sz="0" w:space="0" w:color="auto"/>
            <w:right w:val="none" w:sz="0" w:space="0" w:color="auto"/>
          </w:divBdr>
        </w:div>
        <w:div w:id="698433273">
          <w:marLeft w:val="0"/>
          <w:marRight w:val="0"/>
          <w:marTop w:val="0"/>
          <w:marBottom w:val="101"/>
          <w:divBdr>
            <w:top w:val="none" w:sz="0" w:space="0" w:color="auto"/>
            <w:left w:val="none" w:sz="0" w:space="0" w:color="auto"/>
            <w:bottom w:val="none" w:sz="0" w:space="0" w:color="auto"/>
            <w:right w:val="none" w:sz="0" w:space="0" w:color="auto"/>
          </w:divBdr>
        </w:div>
        <w:div w:id="58678935">
          <w:marLeft w:val="0"/>
          <w:marRight w:val="0"/>
          <w:marTop w:val="0"/>
          <w:marBottom w:val="101"/>
          <w:divBdr>
            <w:top w:val="none" w:sz="0" w:space="0" w:color="auto"/>
            <w:left w:val="none" w:sz="0" w:space="0" w:color="auto"/>
            <w:bottom w:val="none" w:sz="0" w:space="0" w:color="auto"/>
            <w:right w:val="none" w:sz="0" w:space="0" w:color="auto"/>
          </w:divBdr>
        </w:div>
        <w:div w:id="1814104910">
          <w:marLeft w:val="0"/>
          <w:marRight w:val="0"/>
          <w:marTop w:val="0"/>
          <w:marBottom w:val="101"/>
          <w:divBdr>
            <w:top w:val="none" w:sz="0" w:space="0" w:color="auto"/>
            <w:left w:val="none" w:sz="0" w:space="0" w:color="auto"/>
            <w:bottom w:val="none" w:sz="0" w:space="0" w:color="auto"/>
            <w:right w:val="none" w:sz="0" w:space="0" w:color="auto"/>
          </w:divBdr>
        </w:div>
        <w:div w:id="1216964862">
          <w:marLeft w:val="0"/>
          <w:marRight w:val="0"/>
          <w:marTop w:val="0"/>
          <w:marBottom w:val="101"/>
          <w:divBdr>
            <w:top w:val="none" w:sz="0" w:space="0" w:color="auto"/>
            <w:left w:val="none" w:sz="0" w:space="0" w:color="auto"/>
            <w:bottom w:val="none" w:sz="0" w:space="0" w:color="auto"/>
            <w:right w:val="none" w:sz="0" w:space="0" w:color="auto"/>
          </w:divBdr>
        </w:div>
        <w:div w:id="30041027">
          <w:marLeft w:val="0"/>
          <w:marRight w:val="0"/>
          <w:marTop w:val="0"/>
          <w:marBottom w:val="101"/>
          <w:divBdr>
            <w:top w:val="none" w:sz="0" w:space="0" w:color="auto"/>
            <w:left w:val="none" w:sz="0" w:space="0" w:color="auto"/>
            <w:bottom w:val="none" w:sz="0" w:space="0" w:color="auto"/>
            <w:right w:val="none" w:sz="0" w:space="0" w:color="auto"/>
          </w:divBdr>
        </w:div>
        <w:div w:id="1435203721">
          <w:marLeft w:val="0"/>
          <w:marRight w:val="0"/>
          <w:marTop w:val="0"/>
          <w:marBottom w:val="101"/>
          <w:divBdr>
            <w:top w:val="none" w:sz="0" w:space="0" w:color="auto"/>
            <w:left w:val="none" w:sz="0" w:space="0" w:color="auto"/>
            <w:bottom w:val="none" w:sz="0" w:space="0" w:color="auto"/>
            <w:right w:val="none" w:sz="0" w:space="0" w:color="auto"/>
          </w:divBdr>
        </w:div>
        <w:div w:id="1382172182">
          <w:marLeft w:val="0"/>
          <w:marRight w:val="0"/>
          <w:marTop w:val="0"/>
          <w:marBottom w:val="101"/>
          <w:divBdr>
            <w:top w:val="none" w:sz="0" w:space="0" w:color="auto"/>
            <w:left w:val="none" w:sz="0" w:space="0" w:color="auto"/>
            <w:bottom w:val="none" w:sz="0" w:space="0" w:color="auto"/>
            <w:right w:val="none" w:sz="0" w:space="0" w:color="auto"/>
          </w:divBdr>
        </w:div>
        <w:div w:id="1143623697">
          <w:marLeft w:val="0"/>
          <w:marRight w:val="0"/>
          <w:marTop w:val="0"/>
          <w:marBottom w:val="101"/>
          <w:divBdr>
            <w:top w:val="none" w:sz="0" w:space="0" w:color="auto"/>
            <w:left w:val="none" w:sz="0" w:space="0" w:color="auto"/>
            <w:bottom w:val="none" w:sz="0" w:space="0" w:color="auto"/>
            <w:right w:val="none" w:sz="0" w:space="0" w:color="auto"/>
          </w:divBdr>
        </w:div>
        <w:div w:id="1148519045">
          <w:marLeft w:val="0"/>
          <w:marRight w:val="0"/>
          <w:marTop w:val="0"/>
          <w:marBottom w:val="101"/>
          <w:divBdr>
            <w:top w:val="none" w:sz="0" w:space="0" w:color="auto"/>
            <w:left w:val="none" w:sz="0" w:space="0" w:color="auto"/>
            <w:bottom w:val="none" w:sz="0" w:space="0" w:color="auto"/>
            <w:right w:val="none" w:sz="0" w:space="0" w:color="auto"/>
          </w:divBdr>
        </w:div>
        <w:div w:id="878398205">
          <w:marLeft w:val="0"/>
          <w:marRight w:val="0"/>
          <w:marTop w:val="0"/>
          <w:marBottom w:val="101"/>
          <w:divBdr>
            <w:top w:val="none" w:sz="0" w:space="0" w:color="auto"/>
            <w:left w:val="none" w:sz="0" w:space="0" w:color="auto"/>
            <w:bottom w:val="none" w:sz="0" w:space="0" w:color="auto"/>
            <w:right w:val="none" w:sz="0" w:space="0" w:color="auto"/>
          </w:divBdr>
        </w:div>
        <w:div w:id="1983921983">
          <w:marLeft w:val="0"/>
          <w:marRight w:val="0"/>
          <w:marTop w:val="0"/>
          <w:marBottom w:val="101"/>
          <w:divBdr>
            <w:top w:val="none" w:sz="0" w:space="0" w:color="auto"/>
            <w:left w:val="none" w:sz="0" w:space="0" w:color="auto"/>
            <w:bottom w:val="none" w:sz="0" w:space="0" w:color="auto"/>
            <w:right w:val="none" w:sz="0" w:space="0" w:color="auto"/>
          </w:divBdr>
        </w:div>
        <w:div w:id="2108847082">
          <w:marLeft w:val="0"/>
          <w:marRight w:val="0"/>
          <w:marTop w:val="0"/>
          <w:marBottom w:val="101"/>
          <w:divBdr>
            <w:top w:val="none" w:sz="0" w:space="0" w:color="auto"/>
            <w:left w:val="none" w:sz="0" w:space="0" w:color="auto"/>
            <w:bottom w:val="none" w:sz="0" w:space="0" w:color="auto"/>
            <w:right w:val="none" w:sz="0" w:space="0" w:color="auto"/>
          </w:divBdr>
        </w:div>
        <w:div w:id="357586643">
          <w:marLeft w:val="0"/>
          <w:marRight w:val="0"/>
          <w:marTop w:val="0"/>
          <w:marBottom w:val="101"/>
          <w:divBdr>
            <w:top w:val="none" w:sz="0" w:space="0" w:color="auto"/>
            <w:left w:val="none" w:sz="0" w:space="0" w:color="auto"/>
            <w:bottom w:val="none" w:sz="0" w:space="0" w:color="auto"/>
            <w:right w:val="none" w:sz="0" w:space="0" w:color="auto"/>
          </w:divBdr>
        </w:div>
        <w:div w:id="197669114">
          <w:marLeft w:val="0"/>
          <w:marRight w:val="0"/>
          <w:marTop w:val="0"/>
          <w:marBottom w:val="101"/>
          <w:divBdr>
            <w:top w:val="none" w:sz="0" w:space="0" w:color="auto"/>
            <w:left w:val="none" w:sz="0" w:space="0" w:color="auto"/>
            <w:bottom w:val="none" w:sz="0" w:space="0" w:color="auto"/>
            <w:right w:val="none" w:sz="0" w:space="0" w:color="auto"/>
          </w:divBdr>
        </w:div>
        <w:div w:id="198780326">
          <w:marLeft w:val="0"/>
          <w:marRight w:val="0"/>
          <w:marTop w:val="0"/>
          <w:marBottom w:val="101"/>
          <w:divBdr>
            <w:top w:val="none" w:sz="0" w:space="0" w:color="auto"/>
            <w:left w:val="none" w:sz="0" w:space="0" w:color="auto"/>
            <w:bottom w:val="none" w:sz="0" w:space="0" w:color="auto"/>
            <w:right w:val="none" w:sz="0" w:space="0" w:color="auto"/>
          </w:divBdr>
        </w:div>
        <w:div w:id="1490562463">
          <w:marLeft w:val="0"/>
          <w:marRight w:val="0"/>
          <w:marTop w:val="0"/>
          <w:marBottom w:val="101"/>
          <w:divBdr>
            <w:top w:val="none" w:sz="0" w:space="0" w:color="auto"/>
            <w:left w:val="none" w:sz="0" w:space="0" w:color="auto"/>
            <w:bottom w:val="none" w:sz="0" w:space="0" w:color="auto"/>
            <w:right w:val="none" w:sz="0" w:space="0" w:color="auto"/>
          </w:divBdr>
        </w:div>
        <w:div w:id="806122720">
          <w:marLeft w:val="0"/>
          <w:marRight w:val="0"/>
          <w:marTop w:val="0"/>
          <w:marBottom w:val="101"/>
          <w:divBdr>
            <w:top w:val="none" w:sz="0" w:space="0" w:color="auto"/>
            <w:left w:val="none" w:sz="0" w:space="0" w:color="auto"/>
            <w:bottom w:val="none" w:sz="0" w:space="0" w:color="auto"/>
            <w:right w:val="none" w:sz="0" w:space="0" w:color="auto"/>
          </w:divBdr>
        </w:div>
        <w:div w:id="1425032528">
          <w:marLeft w:val="0"/>
          <w:marRight w:val="0"/>
          <w:marTop w:val="0"/>
          <w:marBottom w:val="101"/>
          <w:divBdr>
            <w:top w:val="none" w:sz="0" w:space="0" w:color="auto"/>
            <w:left w:val="none" w:sz="0" w:space="0" w:color="auto"/>
            <w:bottom w:val="none" w:sz="0" w:space="0" w:color="auto"/>
            <w:right w:val="none" w:sz="0" w:space="0" w:color="auto"/>
          </w:divBdr>
        </w:div>
        <w:div w:id="429741909">
          <w:marLeft w:val="0"/>
          <w:marRight w:val="0"/>
          <w:marTop w:val="0"/>
          <w:marBottom w:val="101"/>
          <w:divBdr>
            <w:top w:val="none" w:sz="0" w:space="0" w:color="auto"/>
            <w:left w:val="none" w:sz="0" w:space="0" w:color="auto"/>
            <w:bottom w:val="none" w:sz="0" w:space="0" w:color="auto"/>
            <w:right w:val="none" w:sz="0" w:space="0" w:color="auto"/>
          </w:divBdr>
        </w:div>
        <w:div w:id="1951625407">
          <w:marLeft w:val="0"/>
          <w:marRight w:val="0"/>
          <w:marTop w:val="0"/>
          <w:marBottom w:val="101"/>
          <w:divBdr>
            <w:top w:val="none" w:sz="0" w:space="0" w:color="auto"/>
            <w:left w:val="none" w:sz="0" w:space="0" w:color="auto"/>
            <w:bottom w:val="none" w:sz="0" w:space="0" w:color="auto"/>
            <w:right w:val="none" w:sz="0" w:space="0" w:color="auto"/>
          </w:divBdr>
        </w:div>
        <w:div w:id="1159466663">
          <w:marLeft w:val="0"/>
          <w:marRight w:val="0"/>
          <w:marTop w:val="0"/>
          <w:marBottom w:val="101"/>
          <w:divBdr>
            <w:top w:val="none" w:sz="0" w:space="0" w:color="auto"/>
            <w:left w:val="none" w:sz="0" w:space="0" w:color="auto"/>
            <w:bottom w:val="none" w:sz="0" w:space="0" w:color="auto"/>
            <w:right w:val="none" w:sz="0" w:space="0" w:color="auto"/>
          </w:divBdr>
        </w:div>
        <w:div w:id="896210893">
          <w:marLeft w:val="0"/>
          <w:marRight w:val="0"/>
          <w:marTop w:val="0"/>
          <w:marBottom w:val="101"/>
          <w:divBdr>
            <w:top w:val="none" w:sz="0" w:space="0" w:color="auto"/>
            <w:left w:val="none" w:sz="0" w:space="0" w:color="auto"/>
            <w:bottom w:val="none" w:sz="0" w:space="0" w:color="auto"/>
            <w:right w:val="none" w:sz="0" w:space="0" w:color="auto"/>
          </w:divBdr>
        </w:div>
        <w:div w:id="819151723">
          <w:marLeft w:val="0"/>
          <w:marRight w:val="0"/>
          <w:marTop w:val="0"/>
          <w:marBottom w:val="101"/>
          <w:divBdr>
            <w:top w:val="none" w:sz="0" w:space="0" w:color="auto"/>
            <w:left w:val="none" w:sz="0" w:space="0" w:color="auto"/>
            <w:bottom w:val="none" w:sz="0" w:space="0" w:color="auto"/>
            <w:right w:val="none" w:sz="0" w:space="0" w:color="auto"/>
          </w:divBdr>
        </w:div>
        <w:div w:id="1881824774">
          <w:marLeft w:val="0"/>
          <w:marRight w:val="0"/>
          <w:marTop w:val="0"/>
          <w:marBottom w:val="101"/>
          <w:divBdr>
            <w:top w:val="none" w:sz="0" w:space="0" w:color="auto"/>
            <w:left w:val="none" w:sz="0" w:space="0" w:color="auto"/>
            <w:bottom w:val="none" w:sz="0" w:space="0" w:color="auto"/>
            <w:right w:val="none" w:sz="0" w:space="0" w:color="auto"/>
          </w:divBdr>
        </w:div>
        <w:div w:id="1573587496">
          <w:marLeft w:val="0"/>
          <w:marRight w:val="0"/>
          <w:marTop w:val="0"/>
          <w:marBottom w:val="101"/>
          <w:divBdr>
            <w:top w:val="none" w:sz="0" w:space="0" w:color="auto"/>
            <w:left w:val="none" w:sz="0" w:space="0" w:color="auto"/>
            <w:bottom w:val="none" w:sz="0" w:space="0" w:color="auto"/>
            <w:right w:val="none" w:sz="0" w:space="0" w:color="auto"/>
          </w:divBdr>
        </w:div>
        <w:div w:id="1005865401">
          <w:marLeft w:val="0"/>
          <w:marRight w:val="0"/>
          <w:marTop w:val="0"/>
          <w:marBottom w:val="101"/>
          <w:divBdr>
            <w:top w:val="none" w:sz="0" w:space="0" w:color="auto"/>
            <w:left w:val="none" w:sz="0" w:space="0" w:color="auto"/>
            <w:bottom w:val="none" w:sz="0" w:space="0" w:color="auto"/>
            <w:right w:val="none" w:sz="0" w:space="0" w:color="auto"/>
          </w:divBdr>
        </w:div>
        <w:div w:id="1595475958">
          <w:marLeft w:val="0"/>
          <w:marRight w:val="0"/>
          <w:marTop w:val="0"/>
          <w:marBottom w:val="101"/>
          <w:divBdr>
            <w:top w:val="none" w:sz="0" w:space="0" w:color="auto"/>
            <w:left w:val="none" w:sz="0" w:space="0" w:color="auto"/>
            <w:bottom w:val="none" w:sz="0" w:space="0" w:color="auto"/>
            <w:right w:val="none" w:sz="0" w:space="0" w:color="auto"/>
          </w:divBdr>
        </w:div>
        <w:div w:id="2010407152">
          <w:marLeft w:val="0"/>
          <w:marRight w:val="0"/>
          <w:marTop w:val="0"/>
          <w:marBottom w:val="101"/>
          <w:divBdr>
            <w:top w:val="none" w:sz="0" w:space="0" w:color="auto"/>
            <w:left w:val="none" w:sz="0" w:space="0" w:color="auto"/>
            <w:bottom w:val="none" w:sz="0" w:space="0" w:color="auto"/>
            <w:right w:val="none" w:sz="0" w:space="0" w:color="auto"/>
          </w:divBdr>
        </w:div>
        <w:div w:id="169611819">
          <w:marLeft w:val="0"/>
          <w:marRight w:val="0"/>
          <w:marTop w:val="0"/>
          <w:marBottom w:val="101"/>
          <w:divBdr>
            <w:top w:val="none" w:sz="0" w:space="0" w:color="auto"/>
            <w:left w:val="none" w:sz="0" w:space="0" w:color="auto"/>
            <w:bottom w:val="none" w:sz="0" w:space="0" w:color="auto"/>
            <w:right w:val="none" w:sz="0" w:space="0" w:color="auto"/>
          </w:divBdr>
        </w:div>
        <w:div w:id="2034380737">
          <w:marLeft w:val="0"/>
          <w:marRight w:val="0"/>
          <w:marTop w:val="0"/>
          <w:marBottom w:val="101"/>
          <w:divBdr>
            <w:top w:val="none" w:sz="0" w:space="0" w:color="auto"/>
            <w:left w:val="none" w:sz="0" w:space="0" w:color="auto"/>
            <w:bottom w:val="none" w:sz="0" w:space="0" w:color="auto"/>
            <w:right w:val="none" w:sz="0" w:space="0" w:color="auto"/>
          </w:divBdr>
        </w:div>
        <w:div w:id="548615044">
          <w:marLeft w:val="0"/>
          <w:marRight w:val="0"/>
          <w:marTop w:val="0"/>
          <w:marBottom w:val="101"/>
          <w:divBdr>
            <w:top w:val="none" w:sz="0" w:space="0" w:color="auto"/>
            <w:left w:val="none" w:sz="0" w:space="0" w:color="auto"/>
            <w:bottom w:val="none" w:sz="0" w:space="0" w:color="auto"/>
            <w:right w:val="none" w:sz="0" w:space="0" w:color="auto"/>
          </w:divBdr>
        </w:div>
        <w:div w:id="1996108200">
          <w:marLeft w:val="0"/>
          <w:marRight w:val="0"/>
          <w:marTop w:val="0"/>
          <w:marBottom w:val="101"/>
          <w:divBdr>
            <w:top w:val="none" w:sz="0" w:space="0" w:color="auto"/>
            <w:left w:val="none" w:sz="0" w:space="0" w:color="auto"/>
            <w:bottom w:val="none" w:sz="0" w:space="0" w:color="auto"/>
            <w:right w:val="none" w:sz="0" w:space="0" w:color="auto"/>
          </w:divBdr>
        </w:div>
        <w:div w:id="593515987">
          <w:marLeft w:val="0"/>
          <w:marRight w:val="0"/>
          <w:marTop w:val="0"/>
          <w:marBottom w:val="101"/>
          <w:divBdr>
            <w:top w:val="none" w:sz="0" w:space="0" w:color="auto"/>
            <w:left w:val="none" w:sz="0" w:space="0" w:color="auto"/>
            <w:bottom w:val="none" w:sz="0" w:space="0" w:color="auto"/>
            <w:right w:val="none" w:sz="0" w:space="0" w:color="auto"/>
          </w:divBdr>
        </w:div>
        <w:div w:id="586889691">
          <w:marLeft w:val="0"/>
          <w:marRight w:val="0"/>
          <w:marTop w:val="0"/>
          <w:marBottom w:val="101"/>
          <w:divBdr>
            <w:top w:val="none" w:sz="0" w:space="0" w:color="auto"/>
            <w:left w:val="none" w:sz="0" w:space="0" w:color="auto"/>
            <w:bottom w:val="none" w:sz="0" w:space="0" w:color="auto"/>
            <w:right w:val="none" w:sz="0" w:space="0" w:color="auto"/>
          </w:divBdr>
        </w:div>
        <w:div w:id="368409682">
          <w:marLeft w:val="0"/>
          <w:marRight w:val="0"/>
          <w:marTop w:val="0"/>
          <w:marBottom w:val="101"/>
          <w:divBdr>
            <w:top w:val="none" w:sz="0" w:space="0" w:color="auto"/>
            <w:left w:val="none" w:sz="0" w:space="0" w:color="auto"/>
            <w:bottom w:val="none" w:sz="0" w:space="0" w:color="auto"/>
            <w:right w:val="none" w:sz="0" w:space="0" w:color="auto"/>
          </w:divBdr>
        </w:div>
        <w:div w:id="286204775">
          <w:marLeft w:val="0"/>
          <w:marRight w:val="0"/>
          <w:marTop w:val="0"/>
          <w:marBottom w:val="101"/>
          <w:divBdr>
            <w:top w:val="none" w:sz="0" w:space="0" w:color="auto"/>
            <w:left w:val="none" w:sz="0" w:space="0" w:color="auto"/>
            <w:bottom w:val="none" w:sz="0" w:space="0" w:color="auto"/>
            <w:right w:val="none" w:sz="0" w:space="0" w:color="auto"/>
          </w:divBdr>
        </w:div>
        <w:div w:id="1161697645">
          <w:marLeft w:val="0"/>
          <w:marRight w:val="0"/>
          <w:marTop w:val="0"/>
          <w:marBottom w:val="101"/>
          <w:divBdr>
            <w:top w:val="none" w:sz="0" w:space="0" w:color="auto"/>
            <w:left w:val="none" w:sz="0" w:space="0" w:color="auto"/>
            <w:bottom w:val="none" w:sz="0" w:space="0" w:color="auto"/>
            <w:right w:val="none" w:sz="0" w:space="0" w:color="auto"/>
          </w:divBdr>
        </w:div>
        <w:div w:id="1990203378">
          <w:marLeft w:val="0"/>
          <w:marRight w:val="0"/>
          <w:marTop w:val="0"/>
          <w:marBottom w:val="101"/>
          <w:divBdr>
            <w:top w:val="none" w:sz="0" w:space="0" w:color="auto"/>
            <w:left w:val="none" w:sz="0" w:space="0" w:color="auto"/>
            <w:bottom w:val="none" w:sz="0" w:space="0" w:color="auto"/>
            <w:right w:val="none" w:sz="0" w:space="0" w:color="auto"/>
          </w:divBdr>
        </w:div>
        <w:div w:id="43602929">
          <w:marLeft w:val="0"/>
          <w:marRight w:val="0"/>
          <w:marTop w:val="0"/>
          <w:marBottom w:val="101"/>
          <w:divBdr>
            <w:top w:val="none" w:sz="0" w:space="0" w:color="auto"/>
            <w:left w:val="none" w:sz="0" w:space="0" w:color="auto"/>
            <w:bottom w:val="none" w:sz="0" w:space="0" w:color="auto"/>
            <w:right w:val="none" w:sz="0" w:space="0" w:color="auto"/>
          </w:divBdr>
        </w:div>
        <w:div w:id="2021007269">
          <w:marLeft w:val="0"/>
          <w:marRight w:val="0"/>
          <w:marTop w:val="0"/>
          <w:marBottom w:val="101"/>
          <w:divBdr>
            <w:top w:val="none" w:sz="0" w:space="0" w:color="auto"/>
            <w:left w:val="none" w:sz="0" w:space="0" w:color="auto"/>
            <w:bottom w:val="none" w:sz="0" w:space="0" w:color="auto"/>
            <w:right w:val="none" w:sz="0" w:space="0" w:color="auto"/>
          </w:divBdr>
        </w:div>
        <w:div w:id="2110074772">
          <w:marLeft w:val="0"/>
          <w:marRight w:val="0"/>
          <w:marTop w:val="0"/>
          <w:marBottom w:val="101"/>
          <w:divBdr>
            <w:top w:val="none" w:sz="0" w:space="0" w:color="auto"/>
            <w:left w:val="none" w:sz="0" w:space="0" w:color="auto"/>
            <w:bottom w:val="none" w:sz="0" w:space="0" w:color="auto"/>
            <w:right w:val="none" w:sz="0" w:space="0" w:color="auto"/>
          </w:divBdr>
        </w:div>
        <w:div w:id="1547795982">
          <w:marLeft w:val="0"/>
          <w:marRight w:val="0"/>
          <w:marTop w:val="0"/>
          <w:marBottom w:val="101"/>
          <w:divBdr>
            <w:top w:val="none" w:sz="0" w:space="0" w:color="auto"/>
            <w:left w:val="none" w:sz="0" w:space="0" w:color="auto"/>
            <w:bottom w:val="none" w:sz="0" w:space="0" w:color="auto"/>
            <w:right w:val="none" w:sz="0" w:space="0" w:color="auto"/>
          </w:divBdr>
        </w:div>
        <w:div w:id="974144025">
          <w:marLeft w:val="0"/>
          <w:marRight w:val="0"/>
          <w:marTop w:val="0"/>
          <w:marBottom w:val="101"/>
          <w:divBdr>
            <w:top w:val="none" w:sz="0" w:space="0" w:color="auto"/>
            <w:left w:val="none" w:sz="0" w:space="0" w:color="auto"/>
            <w:bottom w:val="none" w:sz="0" w:space="0" w:color="auto"/>
            <w:right w:val="none" w:sz="0" w:space="0" w:color="auto"/>
          </w:divBdr>
        </w:div>
        <w:div w:id="1703702751">
          <w:marLeft w:val="900"/>
          <w:marRight w:val="0"/>
          <w:marTop w:val="0"/>
          <w:marBottom w:val="101"/>
          <w:divBdr>
            <w:top w:val="none" w:sz="0" w:space="0" w:color="auto"/>
            <w:left w:val="none" w:sz="0" w:space="0" w:color="auto"/>
            <w:bottom w:val="none" w:sz="0" w:space="0" w:color="auto"/>
            <w:right w:val="none" w:sz="0" w:space="0" w:color="auto"/>
          </w:divBdr>
        </w:div>
        <w:div w:id="1462264793">
          <w:marLeft w:val="0"/>
          <w:marRight w:val="0"/>
          <w:marTop w:val="0"/>
          <w:marBottom w:val="101"/>
          <w:divBdr>
            <w:top w:val="none" w:sz="0" w:space="0" w:color="auto"/>
            <w:left w:val="none" w:sz="0" w:space="0" w:color="auto"/>
            <w:bottom w:val="none" w:sz="0" w:space="0" w:color="auto"/>
            <w:right w:val="none" w:sz="0" w:space="0" w:color="auto"/>
          </w:divBdr>
        </w:div>
        <w:div w:id="531236060">
          <w:marLeft w:val="0"/>
          <w:marRight w:val="0"/>
          <w:marTop w:val="0"/>
          <w:marBottom w:val="101"/>
          <w:divBdr>
            <w:top w:val="none" w:sz="0" w:space="0" w:color="auto"/>
            <w:left w:val="none" w:sz="0" w:space="0" w:color="auto"/>
            <w:bottom w:val="none" w:sz="0" w:space="0" w:color="auto"/>
            <w:right w:val="none" w:sz="0" w:space="0" w:color="auto"/>
          </w:divBdr>
        </w:div>
        <w:div w:id="2054307037">
          <w:marLeft w:val="0"/>
          <w:marRight w:val="0"/>
          <w:marTop w:val="0"/>
          <w:marBottom w:val="101"/>
          <w:divBdr>
            <w:top w:val="none" w:sz="0" w:space="0" w:color="auto"/>
            <w:left w:val="none" w:sz="0" w:space="0" w:color="auto"/>
            <w:bottom w:val="none" w:sz="0" w:space="0" w:color="auto"/>
            <w:right w:val="none" w:sz="0" w:space="0" w:color="auto"/>
          </w:divBdr>
        </w:div>
        <w:div w:id="171533577">
          <w:marLeft w:val="0"/>
          <w:marRight w:val="0"/>
          <w:marTop w:val="0"/>
          <w:marBottom w:val="101"/>
          <w:divBdr>
            <w:top w:val="none" w:sz="0" w:space="0" w:color="auto"/>
            <w:left w:val="none" w:sz="0" w:space="0" w:color="auto"/>
            <w:bottom w:val="none" w:sz="0" w:space="0" w:color="auto"/>
            <w:right w:val="none" w:sz="0" w:space="0" w:color="auto"/>
          </w:divBdr>
        </w:div>
        <w:div w:id="996424823">
          <w:marLeft w:val="0"/>
          <w:marRight w:val="0"/>
          <w:marTop w:val="0"/>
          <w:marBottom w:val="101"/>
          <w:divBdr>
            <w:top w:val="none" w:sz="0" w:space="0" w:color="auto"/>
            <w:left w:val="none" w:sz="0" w:space="0" w:color="auto"/>
            <w:bottom w:val="none" w:sz="0" w:space="0" w:color="auto"/>
            <w:right w:val="none" w:sz="0" w:space="0" w:color="auto"/>
          </w:divBdr>
        </w:div>
        <w:div w:id="725571077">
          <w:marLeft w:val="0"/>
          <w:marRight w:val="0"/>
          <w:marTop w:val="0"/>
          <w:marBottom w:val="101"/>
          <w:divBdr>
            <w:top w:val="none" w:sz="0" w:space="0" w:color="auto"/>
            <w:left w:val="none" w:sz="0" w:space="0" w:color="auto"/>
            <w:bottom w:val="none" w:sz="0" w:space="0" w:color="auto"/>
            <w:right w:val="none" w:sz="0" w:space="0" w:color="auto"/>
          </w:divBdr>
        </w:div>
        <w:div w:id="249971416">
          <w:marLeft w:val="0"/>
          <w:marRight w:val="0"/>
          <w:marTop w:val="0"/>
          <w:marBottom w:val="101"/>
          <w:divBdr>
            <w:top w:val="none" w:sz="0" w:space="0" w:color="auto"/>
            <w:left w:val="none" w:sz="0" w:space="0" w:color="auto"/>
            <w:bottom w:val="none" w:sz="0" w:space="0" w:color="auto"/>
            <w:right w:val="none" w:sz="0" w:space="0" w:color="auto"/>
          </w:divBdr>
        </w:div>
        <w:div w:id="1888106238">
          <w:marLeft w:val="0"/>
          <w:marRight w:val="0"/>
          <w:marTop w:val="0"/>
          <w:marBottom w:val="101"/>
          <w:divBdr>
            <w:top w:val="none" w:sz="0" w:space="0" w:color="auto"/>
            <w:left w:val="none" w:sz="0" w:space="0" w:color="auto"/>
            <w:bottom w:val="none" w:sz="0" w:space="0" w:color="auto"/>
            <w:right w:val="none" w:sz="0" w:space="0" w:color="auto"/>
          </w:divBdr>
        </w:div>
        <w:div w:id="1401632598">
          <w:marLeft w:val="0"/>
          <w:marRight w:val="0"/>
          <w:marTop w:val="0"/>
          <w:marBottom w:val="101"/>
          <w:divBdr>
            <w:top w:val="none" w:sz="0" w:space="0" w:color="auto"/>
            <w:left w:val="none" w:sz="0" w:space="0" w:color="auto"/>
            <w:bottom w:val="none" w:sz="0" w:space="0" w:color="auto"/>
            <w:right w:val="none" w:sz="0" w:space="0" w:color="auto"/>
          </w:divBdr>
        </w:div>
        <w:div w:id="1992366297">
          <w:marLeft w:val="0"/>
          <w:marRight w:val="0"/>
          <w:marTop w:val="0"/>
          <w:marBottom w:val="101"/>
          <w:divBdr>
            <w:top w:val="none" w:sz="0" w:space="0" w:color="auto"/>
            <w:left w:val="none" w:sz="0" w:space="0" w:color="auto"/>
            <w:bottom w:val="none" w:sz="0" w:space="0" w:color="auto"/>
            <w:right w:val="none" w:sz="0" w:space="0" w:color="auto"/>
          </w:divBdr>
        </w:div>
        <w:div w:id="1432242710">
          <w:marLeft w:val="0"/>
          <w:marRight w:val="0"/>
          <w:marTop w:val="0"/>
          <w:marBottom w:val="101"/>
          <w:divBdr>
            <w:top w:val="none" w:sz="0" w:space="0" w:color="auto"/>
            <w:left w:val="none" w:sz="0" w:space="0" w:color="auto"/>
            <w:bottom w:val="none" w:sz="0" w:space="0" w:color="auto"/>
            <w:right w:val="none" w:sz="0" w:space="0" w:color="auto"/>
          </w:divBdr>
        </w:div>
        <w:div w:id="126631813">
          <w:marLeft w:val="0"/>
          <w:marRight w:val="0"/>
          <w:marTop w:val="0"/>
          <w:marBottom w:val="101"/>
          <w:divBdr>
            <w:top w:val="none" w:sz="0" w:space="0" w:color="auto"/>
            <w:left w:val="none" w:sz="0" w:space="0" w:color="auto"/>
            <w:bottom w:val="none" w:sz="0" w:space="0" w:color="auto"/>
            <w:right w:val="none" w:sz="0" w:space="0" w:color="auto"/>
          </w:divBdr>
        </w:div>
        <w:div w:id="1604458048">
          <w:marLeft w:val="0"/>
          <w:marRight w:val="0"/>
          <w:marTop w:val="0"/>
          <w:marBottom w:val="101"/>
          <w:divBdr>
            <w:top w:val="none" w:sz="0" w:space="0" w:color="auto"/>
            <w:left w:val="none" w:sz="0" w:space="0" w:color="auto"/>
            <w:bottom w:val="none" w:sz="0" w:space="0" w:color="auto"/>
            <w:right w:val="none" w:sz="0" w:space="0" w:color="auto"/>
          </w:divBdr>
        </w:div>
        <w:div w:id="657392129">
          <w:marLeft w:val="0"/>
          <w:marRight w:val="0"/>
          <w:marTop w:val="0"/>
          <w:marBottom w:val="101"/>
          <w:divBdr>
            <w:top w:val="none" w:sz="0" w:space="0" w:color="auto"/>
            <w:left w:val="none" w:sz="0" w:space="0" w:color="auto"/>
            <w:bottom w:val="none" w:sz="0" w:space="0" w:color="auto"/>
            <w:right w:val="none" w:sz="0" w:space="0" w:color="auto"/>
          </w:divBdr>
        </w:div>
        <w:div w:id="1595474887">
          <w:marLeft w:val="0"/>
          <w:marRight w:val="0"/>
          <w:marTop w:val="0"/>
          <w:marBottom w:val="101"/>
          <w:divBdr>
            <w:top w:val="none" w:sz="0" w:space="0" w:color="auto"/>
            <w:left w:val="none" w:sz="0" w:space="0" w:color="auto"/>
            <w:bottom w:val="none" w:sz="0" w:space="0" w:color="auto"/>
            <w:right w:val="none" w:sz="0" w:space="0" w:color="auto"/>
          </w:divBdr>
        </w:div>
        <w:div w:id="571157435">
          <w:marLeft w:val="0"/>
          <w:marRight w:val="0"/>
          <w:marTop w:val="0"/>
          <w:marBottom w:val="101"/>
          <w:divBdr>
            <w:top w:val="none" w:sz="0" w:space="0" w:color="auto"/>
            <w:left w:val="none" w:sz="0" w:space="0" w:color="auto"/>
            <w:bottom w:val="none" w:sz="0" w:space="0" w:color="auto"/>
            <w:right w:val="none" w:sz="0" w:space="0" w:color="auto"/>
          </w:divBdr>
        </w:div>
        <w:div w:id="660236522">
          <w:marLeft w:val="0"/>
          <w:marRight w:val="0"/>
          <w:marTop w:val="0"/>
          <w:marBottom w:val="101"/>
          <w:divBdr>
            <w:top w:val="none" w:sz="0" w:space="0" w:color="auto"/>
            <w:left w:val="none" w:sz="0" w:space="0" w:color="auto"/>
            <w:bottom w:val="none" w:sz="0" w:space="0" w:color="auto"/>
            <w:right w:val="none" w:sz="0" w:space="0" w:color="auto"/>
          </w:divBdr>
        </w:div>
        <w:div w:id="216089531">
          <w:marLeft w:val="0"/>
          <w:marRight w:val="0"/>
          <w:marTop w:val="0"/>
          <w:marBottom w:val="101"/>
          <w:divBdr>
            <w:top w:val="none" w:sz="0" w:space="0" w:color="auto"/>
            <w:left w:val="none" w:sz="0" w:space="0" w:color="auto"/>
            <w:bottom w:val="none" w:sz="0" w:space="0" w:color="auto"/>
            <w:right w:val="none" w:sz="0" w:space="0" w:color="auto"/>
          </w:divBdr>
        </w:div>
        <w:div w:id="2058897890">
          <w:marLeft w:val="0"/>
          <w:marRight w:val="0"/>
          <w:marTop w:val="0"/>
          <w:marBottom w:val="101"/>
          <w:divBdr>
            <w:top w:val="none" w:sz="0" w:space="0" w:color="auto"/>
            <w:left w:val="none" w:sz="0" w:space="0" w:color="auto"/>
            <w:bottom w:val="none" w:sz="0" w:space="0" w:color="auto"/>
            <w:right w:val="none" w:sz="0" w:space="0" w:color="auto"/>
          </w:divBdr>
        </w:div>
        <w:div w:id="1034423103">
          <w:marLeft w:val="0"/>
          <w:marRight w:val="0"/>
          <w:marTop w:val="0"/>
          <w:marBottom w:val="101"/>
          <w:divBdr>
            <w:top w:val="none" w:sz="0" w:space="0" w:color="auto"/>
            <w:left w:val="none" w:sz="0" w:space="0" w:color="auto"/>
            <w:bottom w:val="none" w:sz="0" w:space="0" w:color="auto"/>
            <w:right w:val="none" w:sz="0" w:space="0" w:color="auto"/>
          </w:divBdr>
        </w:div>
        <w:div w:id="72052089">
          <w:marLeft w:val="900"/>
          <w:marRight w:val="0"/>
          <w:marTop w:val="0"/>
          <w:marBottom w:val="101"/>
          <w:divBdr>
            <w:top w:val="none" w:sz="0" w:space="0" w:color="auto"/>
            <w:left w:val="none" w:sz="0" w:space="0" w:color="auto"/>
            <w:bottom w:val="none" w:sz="0" w:space="0" w:color="auto"/>
            <w:right w:val="none" w:sz="0" w:space="0" w:color="auto"/>
          </w:divBdr>
        </w:div>
        <w:div w:id="1869756127">
          <w:marLeft w:val="1260"/>
          <w:marRight w:val="0"/>
          <w:marTop w:val="0"/>
          <w:marBottom w:val="101"/>
          <w:divBdr>
            <w:top w:val="none" w:sz="0" w:space="0" w:color="auto"/>
            <w:left w:val="none" w:sz="0" w:space="0" w:color="auto"/>
            <w:bottom w:val="none" w:sz="0" w:space="0" w:color="auto"/>
            <w:right w:val="none" w:sz="0" w:space="0" w:color="auto"/>
          </w:divBdr>
        </w:div>
        <w:div w:id="600843513">
          <w:marLeft w:val="1260"/>
          <w:marRight w:val="0"/>
          <w:marTop w:val="0"/>
          <w:marBottom w:val="101"/>
          <w:divBdr>
            <w:top w:val="none" w:sz="0" w:space="0" w:color="auto"/>
            <w:left w:val="none" w:sz="0" w:space="0" w:color="auto"/>
            <w:bottom w:val="none" w:sz="0" w:space="0" w:color="auto"/>
            <w:right w:val="none" w:sz="0" w:space="0" w:color="auto"/>
          </w:divBdr>
        </w:div>
        <w:div w:id="1692414610">
          <w:marLeft w:val="1260"/>
          <w:marRight w:val="0"/>
          <w:marTop w:val="0"/>
          <w:marBottom w:val="101"/>
          <w:divBdr>
            <w:top w:val="none" w:sz="0" w:space="0" w:color="auto"/>
            <w:left w:val="none" w:sz="0" w:space="0" w:color="auto"/>
            <w:bottom w:val="none" w:sz="0" w:space="0" w:color="auto"/>
            <w:right w:val="none" w:sz="0" w:space="0" w:color="auto"/>
          </w:divBdr>
        </w:div>
        <w:div w:id="602299441">
          <w:marLeft w:val="0"/>
          <w:marRight w:val="0"/>
          <w:marTop w:val="0"/>
          <w:marBottom w:val="101"/>
          <w:divBdr>
            <w:top w:val="none" w:sz="0" w:space="0" w:color="auto"/>
            <w:left w:val="none" w:sz="0" w:space="0" w:color="auto"/>
            <w:bottom w:val="single" w:sz="6" w:space="0" w:color="000000"/>
            <w:right w:val="none" w:sz="0" w:space="0" w:color="auto"/>
          </w:divBdr>
        </w:div>
        <w:div w:id="1951665808">
          <w:marLeft w:val="0"/>
          <w:marRight w:val="0"/>
          <w:marTop w:val="0"/>
          <w:marBottom w:val="101"/>
          <w:divBdr>
            <w:top w:val="none" w:sz="0" w:space="0" w:color="auto"/>
            <w:left w:val="none" w:sz="0" w:space="0" w:color="auto"/>
            <w:bottom w:val="single" w:sz="6" w:space="0" w:color="000000"/>
            <w:right w:val="none" w:sz="0" w:space="0" w:color="auto"/>
          </w:divBdr>
        </w:div>
        <w:div w:id="1019740499">
          <w:marLeft w:val="0"/>
          <w:marRight w:val="0"/>
          <w:marTop w:val="0"/>
          <w:marBottom w:val="101"/>
          <w:divBdr>
            <w:top w:val="none" w:sz="0" w:space="0" w:color="auto"/>
            <w:left w:val="none" w:sz="0" w:space="0" w:color="auto"/>
            <w:bottom w:val="single" w:sz="6" w:space="0" w:color="000000"/>
            <w:right w:val="none" w:sz="0" w:space="0" w:color="auto"/>
          </w:divBdr>
        </w:div>
        <w:div w:id="1176843589">
          <w:marLeft w:val="900"/>
          <w:marRight w:val="0"/>
          <w:marTop w:val="0"/>
          <w:marBottom w:val="60"/>
          <w:divBdr>
            <w:top w:val="none" w:sz="0" w:space="0" w:color="auto"/>
            <w:left w:val="none" w:sz="0" w:space="0" w:color="auto"/>
            <w:bottom w:val="none" w:sz="0" w:space="0" w:color="auto"/>
            <w:right w:val="none" w:sz="0" w:space="0" w:color="auto"/>
          </w:divBdr>
        </w:div>
        <w:div w:id="755513692">
          <w:marLeft w:val="900"/>
          <w:marRight w:val="0"/>
          <w:marTop w:val="0"/>
          <w:marBottom w:val="60"/>
          <w:divBdr>
            <w:top w:val="none" w:sz="0" w:space="0" w:color="auto"/>
            <w:left w:val="none" w:sz="0" w:space="0" w:color="auto"/>
            <w:bottom w:val="none" w:sz="0" w:space="0" w:color="auto"/>
            <w:right w:val="none" w:sz="0" w:space="0" w:color="auto"/>
          </w:divBdr>
        </w:div>
        <w:div w:id="595091659">
          <w:marLeft w:val="1260"/>
          <w:marRight w:val="0"/>
          <w:marTop w:val="0"/>
          <w:marBottom w:val="60"/>
          <w:divBdr>
            <w:top w:val="none" w:sz="0" w:space="0" w:color="auto"/>
            <w:left w:val="none" w:sz="0" w:space="0" w:color="auto"/>
            <w:bottom w:val="none" w:sz="0" w:space="0" w:color="auto"/>
            <w:right w:val="none" w:sz="0" w:space="0" w:color="auto"/>
          </w:divBdr>
        </w:div>
        <w:div w:id="1759592154">
          <w:marLeft w:val="1260"/>
          <w:marRight w:val="0"/>
          <w:marTop w:val="0"/>
          <w:marBottom w:val="60"/>
          <w:divBdr>
            <w:top w:val="none" w:sz="0" w:space="0" w:color="auto"/>
            <w:left w:val="none" w:sz="0" w:space="0" w:color="auto"/>
            <w:bottom w:val="none" w:sz="0" w:space="0" w:color="auto"/>
            <w:right w:val="none" w:sz="0" w:space="0" w:color="auto"/>
          </w:divBdr>
        </w:div>
        <w:div w:id="1221138175">
          <w:marLeft w:val="1260"/>
          <w:marRight w:val="0"/>
          <w:marTop w:val="0"/>
          <w:marBottom w:val="60"/>
          <w:divBdr>
            <w:top w:val="none" w:sz="0" w:space="0" w:color="auto"/>
            <w:left w:val="none" w:sz="0" w:space="0" w:color="auto"/>
            <w:bottom w:val="none" w:sz="0" w:space="0" w:color="auto"/>
            <w:right w:val="none" w:sz="0" w:space="0" w:color="auto"/>
          </w:divBdr>
        </w:div>
        <w:div w:id="1393885828">
          <w:marLeft w:val="1260"/>
          <w:marRight w:val="0"/>
          <w:marTop w:val="0"/>
          <w:marBottom w:val="60"/>
          <w:divBdr>
            <w:top w:val="none" w:sz="0" w:space="0" w:color="auto"/>
            <w:left w:val="none" w:sz="0" w:space="0" w:color="auto"/>
            <w:bottom w:val="none" w:sz="0" w:space="0" w:color="auto"/>
            <w:right w:val="none" w:sz="0" w:space="0" w:color="auto"/>
          </w:divBdr>
        </w:div>
        <w:div w:id="416173382">
          <w:marLeft w:val="1260"/>
          <w:marRight w:val="0"/>
          <w:marTop w:val="0"/>
          <w:marBottom w:val="60"/>
          <w:divBdr>
            <w:top w:val="none" w:sz="0" w:space="0" w:color="auto"/>
            <w:left w:val="none" w:sz="0" w:space="0" w:color="auto"/>
            <w:bottom w:val="none" w:sz="0" w:space="0" w:color="auto"/>
            <w:right w:val="none" w:sz="0" w:space="0" w:color="auto"/>
          </w:divBdr>
        </w:div>
        <w:div w:id="261501479">
          <w:marLeft w:val="1260"/>
          <w:marRight w:val="0"/>
          <w:marTop w:val="0"/>
          <w:marBottom w:val="60"/>
          <w:divBdr>
            <w:top w:val="none" w:sz="0" w:space="0" w:color="auto"/>
            <w:left w:val="none" w:sz="0" w:space="0" w:color="auto"/>
            <w:bottom w:val="none" w:sz="0" w:space="0" w:color="auto"/>
            <w:right w:val="none" w:sz="0" w:space="0" w:color="auto"/>
          </w:divBdr>
        </w:div>
        <w:div w:id="714504076">
          <w:marLeft w:val="900"/>
          <w:marRight w:val="0"/>
          <w:marTop w:val="0"/>
          <w:marBottom w:val="60"/>
          <w:divBdr>
            <w:top w:val="none" w:sz="0" w:space="0" w:color="auto"/>
            <w:left w:val="none" w:sz="0" w:space="0" w:color="auto"/>
            <w:bottom w:val="none" w:sz="0" w:space="0" w:color="auto"/>
            <w:right w:val="none" w:sz="0" w:space="0" w:color="auto"/>
          </w:divBdr>
        </w:div>
        <w:div w:id="1400519669">
          <w:marLeft w:val="900"/>
          <w:marRight w:val="0"/>
          <w:marTop w:val="0"/>
          <w:marBottom w:val="60"/>
          <w:divBdr>
            <w:top w:val="none" w:sz="0" w:space="0" w:color="auto"/>
            <w:left w:val="none" w:sz="0" w:space="0" w:color="auto"/>
            <w:bottom w:val="none" w:sz="0" w:space="0" w:color="auto"/>
            <w:right w:val="none" w:sz="0" w:space="0" w:color="auto"/>
          </w:divBdr>
        </w:div>
        <w:div w:id="1350981629">
          <w:marLeft w:val="900"/>
          <w:marRight w:val="0"/>
          <w:marTop w:val="0"/>
          <w:marBottom w:val="60"/>
          <w:divBdr>
            <w:top w:val="none" w:sz="0" w:space="0" w:color="auto"/>
            <w:left w:val="none" w:sz="0" w:space="0" w:color="auto"/>
            <w:bottom w:val="none" w:sz="0" w:space="0" w:color="auto"/>
            <w:right w:val="none" w:sz="0" w:space="0" w:color="auto"/>
          </w:divBdr>
        </w:div>
        <w:div w:id="346373399">
          <w:marLeft w:val="900"/>
          <w:marRight w:val="0"/>
          <w:marTop w:val="0"/>
          <w:marBottom w:val="60"/>
          <w:divBdr>
            <w:top w:val="none" w:sz="0" w:space="0" w:color="auto"/>
            <w:left w:val="none" w:sz="0" w:space="0" w:color="auto"/>
            <w:bottom w:val="none" w:sz="0" w:space="0" w:color="auto"/>
            <w:right w:val="none" w:sz="0" w:space="0" w:color="auto"/>
          </w:divBdr>
        </w:div>
        <w:div w:id="959259672">
          <w:marLeft w:val="900"/>
          <w:marRight w:val="0"/>
          <w:marTop w:val="0"/>
          <w:marBottom w:val="60"/>
          <w:divBdr>
            <w:top w:val="none" w:sz="0" w:space="0" w:color="auto"/>
            <w:left w:val="none" w:sz="0" w:space="0" w:color="auto"/>
            <w:bottom w:val="none" w:sz="0" w:space="0" w:color="auto"/>
            <w:right w:val="none" w:sz="0" w:space="0" w:color="auto"/>
          </w:divBdr>
        </w:div>
        <w:div w:id="902331095">
          <w:marLeft w:val="900"/>
          <w:marRight w:val="0"/>
          <w:marTop w:val="0"/>
          <w:marBottom w:val="60"/>
          <w:divBdr>
            <w:top w:val="none" w:sz="0" w:space="0" w:color="auto"/>
            <w:left w:val="none" w:sz="0" w:space="0" w:color="auto"/>
            <w:bottom w:val="none" w:sz="0" w:space="0" w:color="auto"/>
            <w:right w:val="none" w:sz="0" w:space="0" w:color="auto"/>
          </w:divBdr>
        </w:div>
        <w:div w:id="932667843">
          <w:marLeft w:val="900"/>
          <w:marRight w:val="0"/>
          <w:marTop w:val="0"/>
          <w:marBottom w:val="60"/>
          <w:divBdr>
            <w:top w:val="none" w:sz="0" w:space="0" w:color="auto"/>
            <w:left w:val="none" w:sz="0" w:space="0" w:color="auto"/>
            <w:bottom w:val="none" w:sz="0" w:space="0" w:color="auto"/>
            <w:right w:val="none" w:sz="0" w:space="0" w:color="auto"/>
          </w:divBdr>
        </w:div>
        <w:div w:id="179399065">
          <w:marLeft w:val="900"/>
          <w:marRight w:val="0"/>
          <w:marTop w:val="0"/>
          <w:marBottom w:val="60"/>
          <w:divBdr>
            <w:top w:val="none" w:sz="0" w:space="0" w:color="auto"/>
            <w:left w:val="none" w:sz="0" w:space="0" w:color="auto"/>
            <w:bottom w:val="none" w:sz="0" w:space="0" w:color="auto"/>
            <w:right w:val="none" w:sz="0" w:space="0" w:color="auto"/>
          </w:divBdr>
        </w:div>
        <w:div w:id="1197813369">
          <w:marLeft w:val="907"/>
          <w:marRight w:val="0"/>
          <w:marTop w:val="0"/>
          <w:marBottom w:val="101"/>
          <w:divBdr>
            <w:top w:val="none" w:sz="0" w:space="0" w:color="auto"/>
            <w:left w:val="none" w:sz="0" w:space="0" w:color="auto"/>
            <w:bottom w:val="none" w:sz="0" w:space="0" w:color="auto"/>
            <w:right w:val="none" w:sz="0" w:space="0" w:color="auto"/>
          </w:divBdr>
        </w:div>
        <w:div w:id="8064579">
          <w:marLeft w:val="907"/>
          <w:marRight w:val="0"/>
          <w:marTop w:val="0"/>
          <w:marBottom w:val="101"/>
          <w:divBdr>
            <w:top w:val="none" w:sz="0" w:space="0" w:color="auto"/>
            <w:left w:val="none" w:sz="0" w:space="0" w:color="auto"/>
            <w:bottom w:val="none" w:sz="0" w:space="0" w:color="auto"/>
            <w:right w:val="none" w:sz="0" w:space="0" w:color="auto"/>
          </w:divBdr>
        </w:div>
        <w:div w:id="723723642">
          <w:marLeft w:val="907"/>
          <w:marRight w:val="0"/>
          <w:marTop w:val="0"/>
          <w:marBottom w:val="101"/>
          <w:divBdr>
            <w:top w:val="none" w:sz="0" w:space="0" w:color="auto"/>
            <w:left w:val="none" w:sz="0" w:space="0" w:color="auto"/>
            <w:bottom w:val="none" w:sz="0" w:space="0" w:color="auto"/>
            <w:right w:val="none" w:sz="0" w:space="0" w:color="auto"/>
          </w:divBdr>
        </w:div>
        <w:div w:id="1021473972">
          <w:marLeft w:val="907"/>
          <w:marRight w:val="0"/>
          <w:marTop w:val="0"/>
          <w:marBottom w:val="101"/>
          <w:divBdr>
            <w:top w:val="none" w:sz="0" w:space="0" w:color="auto"/>
            <w:left w:val="none" w:sz="0" w:space="0" w:color="auto"/>
            <w:bottom w:val="none" w:sz="0" w:space="0" w:color="auto"/>
            <w:right w:val="none" w:sz="0" w:space="0" w:color="auto"/>
          </w:divBdr>
        </w:div>
        <w:div w:id="1314286900">
          <w:marLeft w:val="907"/>
          <w:marRight w:val="0"/>
          <w:marTop w:val="0"/>
          <w:marBottom w:val="101"/>
          <w:divBdr>
            <w:top w:val="none" w:sz="0" w:space="0" w:color="auto"/>
            <w:left w:val="none" w:sz="0" w:space="0" w:color="auto"/>
            <w:bottom w:val="none" w:sz="0" w:space="0" w:color="auto"/>
            <w:right w:val="none" w:sz="0" w:space="0" w:color="auto"/>
          </w:divBdr>
        </w:div>
        <w:div w:id="409154654">
          <w:marLeft w:val="907"/>
          <w:marRight w:val="0"/>
          <w:marTop w:val="0"/>
          <w:marBottom w:val="101"/>
          <w:divBdr>
            <w:top w:val="none" w:sz="0" w:space="0" w:color="auto"/>
            <w:left w:val="none" w:sz="0" w:space="0" w:color="auto"/>
            <w:bottom w:val="none" w:sz="0" w:space="0" w:color="auto"/>
            <w:right w:val="none" w:sz="0" w:space="0" w:color="auto"/>
          </w:divBdr>
        </w:div>
        <w:div w:id="416291269">
          <w:marLeft w:val="907"/>
          <w:marRight w:val="0"/>
          <w:marTop w:val="0"/>
          <w:marBottom w:val="101"/>
          <w:divBdr>
            <w:top w:val="none" w:sz="0" w:space="0" w:color="auto"/>
            <w:left w:val="none" w:sz="0" w:space="0" w:color="auto"/>
            <w:bottom w:val="none" w:sz="0" w:space="0" w:color="auto"/>
            <w:right w:val="none" w:sz="0" w:space="0" w:color="auto"/>
          </w:divBdr>
        </w:div>
        <w:div w:id="558714476">
          <w:marLeft w:val="907"/>
          <w:marRight w:val="0"/>
          <w:marTop w:val="0"/>
          <w:marBottom w:val="101"/>
          <w:divBdr>
            <w:top w:val="none" w:sz="0" w:space="0" w:color="auto"/>
            <w:left w:val="none" w:sz="0" w:space="0" w:color="auto"/>
            <w:bottom w:val="none" w:sz="0" w:space="0" w:color="auto"/>
            <w:right w:val="none" w:sz="0" w:space="0" w:color="auto"/>
          </w:divBdr>
        </w:div>
        <w:div w:id="472138892">
          <w:marLeft w:val="907"/>
          <w:marRight w:val="0"/>
          <w:marTop w:val="0"/>
          <w:marBottom w:val="101"/>
          <w:divBdr>
            <w:top w:val="none" w:sz="0" w:space="0" w:color="auto"/>
            <w:left w:val="none" w:sz="0" w:space="0" w:color="auto"/>
            <w:bottom w:val="none" w:sz="0" w:space="0" w:color="auto"/>
            <w:right w:val="none" w:sz="0" w:space="0" w:color="auto"/>
          </w:divBdr>
        </w:div>
        <w:div w:id="1188713235">
          <w:marLeft w:val="907"/>
          <w:marRight w:val="0"/>
          <w:marTop w:val="0"/>
          <w:marBottom w:val="101"/>
          <w:divBdr>
            <w:top w:val="none" w:sz="0" w:space="0" w:color="auto"/>
            <w:left w:val="none" w:sz="0" w:space="0" w:color="auto"/>
            <w:bottom w:val="none" w:sz="0" w:space="0" w:color="auto"/>
            <w:right w:val="none" w:sz="0" w:space="0" w:color="auto"/>
          </w:divBdr>
        </w:div>
        <w:div w:id="809444896">
          <w:marLeft w:val="907"/>
          <w:marRight w:val="0"/>
          <w:marTop w:val="0"/>
          <w:marBottom w:val="101"/>
          <w:divBdr>
            <w:top w:val="none" w:sz="0" w:space="0" w:color="auto"/>
            <w:left w:val="none" w:sz="0" w:space="0" w:color="auto"/>
            <w:bottom w:val="none" w:sz="0" w:space="0" w:color="auto"/>
            <w:right w:val="none" w:sz="0" w:space="0" w:color="auto"/>
          </w:divBdr>
        </w:div>
        <w:div w:id="844707567">
          <w:marLeft w:val="907"/>
          <w:marRight w:val="0"/>
          <w:marTop w:val="0"/>
          <w:marBottom w:val="101"/>
          <w:divBdr>
            <w:top w:val="none" w:sz="0" w:space="0" w:color="auto"/>
            <w:left w:val="none" w:sz="0" w:space="0" w:color="auto"/>
            <w:bottom w:val="none" w:sz="0" w:space="0" w:color="auto"/>
            <w:right w:val="none" w:sz="0" w:space="0" w:color="auto"/>
          </w:divBdr>
        </w:div>
        <w:div w:id="1953708396">
          <w:marLeft w:val="907"/>
          <w:marRight w:val="0"/>
          <w:marTop w:val="0"/>
          <w:marBottom w:val="101"/>
          <w:divBdr>
            <w:top w:val="none" w:sz="0" w:space="0" w:color="auto"/>
            <w:left w:val="none" w:sz="0" w:space="0" w:color="auto"/>
            <w:bottom w:val="none" w:sz="0" w:space="0" w:color="auto"/>
            <w:right w:val="none" w:sz="0" w:space="0" w:color="auto"/>
          </w:divBdr>
        </w:div>
        <w:div w:id="2139298133">
          <w:marLeft w:val="907"/>
          <w:marRight w:val="0"/>
          <w:marTop w:val="0"/>
          <w:marBottom w:val="101"/>
          <w:divBdr>
            <w:top w:val="none" w:sz="0" w:space="0" w:color="auto"/>
            <w:left w:val="none" w:sz="0" w:space="0" w:color="auto"/>
            <w:bottom w:val="none" w:sz="0" w:space="0" w:color="auto"/>
            <w:right w:val="none" w:sz="0" w:space="0" w:color="auto"/>
          </w:divBdr>
        </w:div>
        <w:div w:id="1608390275">
          <w:marLeft w:val="0"/>
          <w:marRight w:val="0"/>
          <w:marTop w:val="0"/>
          <w:marBottom w:val="101"/>
          <w:divBdr>
            <w:top w:val="none" w:sz="0" w:space="0" w:color="auto"/>
            <w:left w:val="none" w:sz="0" w:space="0" w:color="auto"/>
            <w:bottom w:val="single" w:sz="6" w:space="0" w:color="000000"/>
            <w:right w:val="none" w:sz="0" w:space="0" w:color="auto"/>
          </w:divBdr>
        </w:div>
        <w:div w:id="668561544">
          <w:marLeft w:val="0"/>
          <w:marRight w:val="0"/>
          <w:marTop w:val="0"/>
          <w:marBottom w:val="101"/>
          <w:divBdr>
            <w:top w:val="none" w:sz="0" w:space="0" w:color="auto"/>
            <w:left w:val="none" w:sz="0" w:space="0" w:color="auto"/>
            <w:bottom w:val="single" w:sz="6" w:space="0" w:color="000000"/>
            <w:right w:val="none" w:sz="0" w:space="0" w:color="auto"/>
          </w:divBdr>
        </w:div>
        <w:div w:id="702436967">
          <w:marLeft w:val="0"/>
          <w:marRight w:val="0"/>
          <w:marTop w:val="0"/>
          <w:marBottom w:val="101"/>
          <w:divBdr>
            <w:top w:val="none" w:sz="0" w:space="0" w:color="auto"/>
            <w:left w:val="none" w:sz="0" w:space="0" w:color="auto"/>
            <w:bottom w:val="single" w:sz="6" w:space="0" w:color="000000"/>
            <w:right w:val="none" w:sz="0" w:space="0" w:color="auto"/>
          </w:divBdr>
        </w:div>
        <w:div w:id="1313362887">
          <w:marLeft w:val="900"/>
          <w:marRight w:val="0"/>
          <w:marTop w:val="0"/>
          <w:marBottom w:val="101"/>
          <w:divBdr>
            <w:top w:val="none" w:sz="0" w:space="0" w:color="auto"/>
            <w:left w:val="none" w:sz="0" w:space="0" w:color="auto"/>
            <w:bottom w:val="none" w:sz="0" w:space="0" w:color="auto"/>
            <w:right w:val="none" w:sz="0" w:space="0" w:color="auto"/>
          </w:divBdr>
        </w:div>
        <w:div w:id="567422197">
          <w:marLeft w:val="900"/>
          <w:marRight w:val="0"/>
          <w:marTop w:val="0"/>
          <w:marBottom w:val="101"/>
          <w:divBdr>
            <w:top w:val="none" w:sz="0" w:space="0" w:color="auto"/>
            <w:left w:val="none" w:sz="0" w:space="0" w:color="auto"/>
            <w:bottom w:val="none" w:sz="0" w:space="0" w:color="auto"/>
            <w:right w:val="none" w:sz="0" w:space="0" w:color="auto"/>
          </w:divBdr>
        </w:div>
        <w:div w:id="998384686">
          <w:marLeft w:val="900"/>
          <w:marRight w:val="0"/>
          <w:marTop w:val="0"/>
          <w:marBottom w:val="101"/>
          <w:divBdr>
            <w:top w:val="none" w:sz="0" w:space="0" w:color="auto"/>
            <w:left w:val="none" w:sz="0" w:space="0" w:color="auto"/>
            <w:bottom w:val="none" w:sz="0" w:space="0" w:color="auto"/>
            <w:right w:val="none" w:sz="0" w:space="0" w:color="auto"/>
          </w:divBdr>
        </w:div>
        <w:div w:id="250042340">
          <w:marLeft w:val="900"/>
          <w:marRight w:val="0"/>
          <w:marTop w:val="0"/>
          <w:marBottom w:val="101"/>
          <w:divBdr>
            <w:top w:val="none" w:sz="0" w:space="0" w:color="auto"/>
            <w:left w:val="none" w:sz="0" w:space="0" w:color="auto"/>
            <w:bottom w:val="none" w:sz="0" w:space="0" w:color="auto"/>
            <w:right w:val="none" w:sz="0" w:space="0" w:color="auto"/>
          </w:divBdr>
        </w:div>
        <w:div w:id="1448086628">
          <w:marLeft w:val="900"/>
          <w:marRight w:val="0"/>
          <w:marTop w:val="0"/>
          <w:marBottom w:val="101"/>
          <w:divBdr>
            <w:top w:val="none" w:sz="0" w:space="0" w:color="auto"/>
            <w:left w:val="none" w:sz="0" w:space="0" w:color="auto"/>
            <w:bottom w:val="none" w:sz="0" w:space="0" w:color="auto"/>
            <w:right w:val="none" w:sz="0" w:space="0" w:color="auto"/>
          </w:divBdr>
        </w:div>
        <w:div w:id="1365054014">
          <w:marLeft w:val="900"/>
          <w:marRight w:val="0"/>
          <w:marTop w:val="0"/>
          <w:marBottom w:val="101"/>
          <w:divBdr>
            <w:top w:val="none" w:sz="0" w:space="0" w:color="auto"/>
            <w:left w:val="none" w:sz="0" w:space="0" w:color="auto"/>
            <w:bottom w:val="none" w:sz="0" w:space="0" w:color="auto"/>
            <w:right w:val="none" w:sz="0" w:space="0" w:color="auto"/>
          </w:divBdr>
        </w:div>
        <w:div w:id="1400207014">
          <w:marLeft w:val="900"/>
          <w:marRight w:val="0"/>
          <w:marTop w:val="0"/>
          <w:marBottom w:val="101"/>
          <w:divBdr>
            <w:top w:val="none" w:sz="0" w:space="0" w:color="auto"/>
            <w:left w:val="none" w:sz="0" w:space="0" w:color="auto"/>
            <w:bottom w:val="none" w:sz="0" w:space="0" w:color="auto"/>
            <w:right w:val="none" w:sz="0" w:space="0" w:color="auto"/>
          </w:divBdr>
        </w:div>
        <w:div w:id="1478690509">
          <w:marLeft w:val="900"/>
          <w:marRight w:val="0"/>
          <w:marTop w:val="0"/>
          <w:marBottom w:val="101"/>
          <w:divBdr>
            <w:top w:val="none" w:sz="0" w:space="0" w:color="auto"/>
            <w:left w:val="none" w:sz="0" w:space="0" w:color="auto"/>
            <w:bottom w:val="none" w:sz="0" w:space="0" w:color="auto"/>
            <w:right w:val="none" w:sz="0" w:space="0" w:color="auto"/>
          </w:divBdr>
        </w:div>
        <w:div w:id="1601789681">
          <w:marLeft w:val="900"/>
          <w:marRight w:val="0"/>
          <w:marTop w:val="0"/>
          <w:marBottom w:val="101"/>
          <w:divBdr>
            <w:top w:val="none" w:sz="0" w:space="0" w:color="auto"/>
            <w:left w:val="none" w:sz="0" w:space="0" w:color="auto"/>
            <w:bottom w:val="none" w:sz="0" w:space="0" w:color="auto"/>
            <w:right w:val="none" w:sz="0" w:space="0" w:color="auto"/>
          </w:divBdr>
        </w:div>
        <w:div w:id="1488859460">
          <w:marLeft w:val="900"/>
          <w:marRight w:val="0"/>
          <w:marTop w:val="0"/>
          <w:marBottom w:val="101"/>
          <w:divBdr>
            <w:top w:val="none" w:sz="0" w:space="0" w:color="auto"/>
            <w:left w:val="none" w:sz="0" w:space="0" w:color="auto"/>
            <w:bottom w:val="none" w:sz="0" w:space="0" w:color="auto"/>
            <w:right w:val="none" w:sz="0" w:space="0" w:color="auto"/>
          </w:divBdr>
        </w:div>
        <w:div w:id="291447062">
          <w:marLeft w:val="900"/>
          <w:marRight w:val="0"/>
          <w:marTop w:val="0"/>
          <w:marBottom w:val="101"/>
          <w:divBdr>
            <w:top w:val="none" w:sz="0" w:space="0" w:color="auto"/>
            <w:left w:val="none" w:sz="0" w:space="0" w:color="auto"/>
            <w:bottom w:val="none" w:sz="0" w:space="0" w:color="auto"/>
            <w:right w:val="none" w:sz="0" w:space="0" w:color="auto"/>
          </w:divBdr>
        </w:div>
        <w:div w:id="1733575378">
          <w:marLeft w:val="900"/>
          <w:marRight w:val="0"/>
          <w:marTop w:val="0"/>
          <w:marBottom w:val="101"/>
          <w:divBdr>
            <w:top w:val="none" w:sz="0" w:space="0" w:color="auto"/>
            <w:left w:val="none" w:sz="0" w:space="0" w:color="auto"/>
            <w:bottom w:val="none" w:sz="0" w:space="0" w:color="auto"/>
            <w:right w:val="none" w:sz="0" w:space="0" w:color="auto"/>
          </w:divBdr>
        </w:div>
        <w:div w:id="33778840">
          <w:marLeft w:val="0"/>
          <w:marRight w:val="0"/>
          <w:marTop w:val="0"/>
          <w:marBottom w:val="101"/>
          <w:divBdr>
            <w:top w:val="none" w:sz="0" w:space="0" w:color="auto"/>
            <w:left w:val="none" w:sz="0" w:space="0" w:color="auto"/>
            <w:bottom w:val="single" w:sz="6" w:space="0" w:color="000000"/>
            <w:right w:val="none" w:sz="0" w:space="0" w:color="auto"/>
          </w:divBdr>
        </w:div>
        <w:div w:id="819424003">
          <w:marLeft w:val="0"/>
          <w:marRight w:val="0"/>
          <w:marTop w:val="0"/>
          <w:marBottom w:val="101"/>
          <w:divBdr>
            <w:top w:val="none" w:sz="0" w:space="0" w:color="auto"/>
            <w:left w:val="none" w:sz="0" w:space="0" w:color="auto"/>
            <w:bottom w:val="single" w:sz="6" w:space="0" w:color="000000"/>
            <w:right w:val="none" w:sz="0" w:space="0" w:color="auto"/>
          </w:divBdr>
        </w:div>
        <w:div w:id="2090493105">
          <w:marLeft w:val="0"/>
          <w:marRight w:val="0"/>
          <w:marTop w:val="0"/>
          <w:marBottom w:val="101"/>
          <w:divBdr>
            <w:top w:val="none" w:sz="0" w:space="0" w:color="auto"/>
            <w:left w:val="none" w:sz="0" w:space="0" w:color="auto"/>
            <w:bottom w:val="single" w:sz="6" w:space="0" w:color="000000"/>
            <w:right w:val="none" w:sz="0" w:space="0" w:color="auto"/>
          </w:divBdr>
        </w:div>
        <w:div w:id="61415455">
          <w:marLeft w:val="907"/>
          <w:marRight w:val="0"/>
          <w:marTop w:val="0"/>
          <w:marBottom w:val="60"/>
          <w:divBdr>
            <w:top w:val="none" w:sz="0" w:space="0" w:color="auto"/>
            <w:left w:val="none" w:sz="0" w:space="0" w:color="auto"/>
            <w:bottom w:val="none" w:sz="0" w:space="0" w:color="auto"/>
            <w:right w:val="none" w:sz="0" w:space="0" w:color="auto"/>
          </w:divBdr>
        </w:div>
        <w:div w:id="1353150431">
          <w:marLeft w:val="907"/>
          <w:marRight w:val="0"/>
          <w:marTop w:val="0"/>
          <w:marBottom w:val="60"/>
          <w:divBdr>
            <w:top w:val="none" w:sz="0" w:space="0" w:color="auto"/>
            <w:left w:val="none" w:sz="0" w:space="0" w:color="auto"/>
            <w:bottom w:val="none" w:sz="0" w:space="0" w:color="auto"/>
            <w:right w:val="none" w:sz="0" w:space="0" w:color="auto"/>
          </w:divBdr>
        </w:div>
        <w:div w:id="1868594662">
          <w:marLeft w:val="907"/>
          <w:marRight w:val="0"/>
          <w:marTop w:val="0"/>
          <w:marBottom w:val="60"/>
          <w:divBdr>
            <w:top w:val="none" w:sz="0" w:space="0" w:color="auto"/>
            <w:left w:val="none" w:sz="0" w:space="0" w:color="auto"/>
            <w:bottom w:val="none" w:sz="0" w:space="0" w:color="auto"/>
            <w:right w:val="none" w:sz="0" w:space="0" w:color="auto"/>
          </w:divBdr>
        </w:div>
        <w:div w:id="379669818">
          <w:marLeft w:val="0"/>
          <w:marRight w:val="0"/>
          <w:marTop w:val="0"/>
          <w:marBottom w:val="20"/>
          <w:divBdr>
            <w:top w:val="none" w:sz="0" w:space="0" w:color="auto"/>
            <w:left w:val="none" w:sz="0" w:space="0" w:color="auto"/>
            <w:bottom w:val="none" w:sz="0" w:space="0" w:color="auto"/>
            <w:right w:val="none" w:sz="0" w:space="0" w:color="auto"/>
          </w:divBdr>
        </w:div>
        <w:div w:id="1347370716">
          <w:marLeft w:val="0"/>
          <w:marRight w:val="0"/>
          <w:marTop w:val="0"/>
          <w:marBottom w:val="20"/>
          <w:divBdr>
            <w:top w:val="none" w:sz="0" w:space="0" w:color="auto"/>
            <w:left w:val="none" w:sz="0" w:space="0" w:color="auto"/>
            <w:bottom w:val="none" w:sz="0" w:space="0" w:color="auto"/>
            <w:right w:val="none" w:sz="0" w:space="0" w:color="auto"/>
          </w:divBdr>
        </w:div>
        <w:div w:id="250284241">
          <w:marLeft w:val="0"/>
          <w:marRight w:val="0"/>
          <w:marTop w:val="0"/>
          <w:marBottom w:val="20"/>
          <w:divBdr>
            <w:top w:val="none" w:sz="0" w:space="0" w:color="auto"/>
            <w:left w:val="none" w:sz="0" w:space="0" w:color="auto"/>
            <w:bottom w:val="none" w:sz="0" w:space="0" w:color="auto"/>
            <w:right w:val="none" w:sz="0" w:space="0" w:color="auto"/>
          </w:divBdr>
        </w:div>
        <w:div w:id="1259798857">
          <w:marLeft w:val="0"/>
          <w:marRight w:val="0"/>
          <w:marTop w:val="0"/>
          <w:marBottom w:val="20"/>
          <w:divBdr>
            <w:top w:val="none" w:sz="0" w:space="0" w:color="auto"/>
            <w:left w:val="none" w:sz="0" w:space="0" w:color="auto"/>
            <w:bottom w:val="none" w:sz="0" w:space="0" w:color="auto"/>
            <w:right w:val="none" w:sz="0" w:space="0" w:color="auto"/>
          </w:divBdr>
        </w:div>
        <w:div w:id="1337994732">
          <w:marLeft w:val="0"/>
          <w:marRight w:val="0"/>
          <w:marTop w:val="0"/>
          <w:marBottom w:val="20"/>
          <w:divBdr>
            <w:top w:val="none" w:sz="0" w:space="0" w:color="auto"/>
            <w:left w:val="none" w:sz="0" w:space="0" w:color="auto"/>
            <w:bottom w:val="none" w:sz="0" w:space="0" w:color="auto"/>
            <w:right w:val="none" w:sz="0" w:space="0" w:color="auto"/>
          </w:divBdr>
        </w:div>
        <w:div w:id="1234968374">
          <w:marLeft w:val="0"/>
          <w:marRight w:val="0"/>
          <w:marTop w:val="0"/>
          <w:marBottom w:val="20"/>
          <w:divBdr>
            <w:top w:val="none" w:sz="0" w:space="0" w:color="auto"/>
            <w:left w:val="none" w:sz="0" w:space="0" w:color="auto"/>
            <w:bottom w:val="none" w:sz="0" w:space="0" w:color="auto"/>
            <w:right w:val="none" w:sz="0" w:space="0" w:color="auto"/>
          </w:divBdr>
        </w:div>
        <w:div w:id="1812822722">
          <w:marLeft w:val="0"/>
          <w:marRight w:val="0"/>
          <w:marTop w:val="0"/>
          <w:marBottom w:val="20"/>
          <w:divBdr>
            <w:top w:val="none" w:sz="0" w:space="0" w:color="auto"/>
            <w:left w:val="none" w:sz="0" w:space="0" w:color="auto"/>
            <w:bottom w:val="none" w:sz="0" w:space="0" w:color="auto"/>
            <w:right w:val="none" w:sz="0" w:space="0" w:color="auto"/>
          </w:divBdr>
        </w:div>
        <w:div w:id="352078473">
          <w:marLeft w:val="0"/>
          <w:marRight w:val="0"/>
          <w:marTop w:val="0"/>
          <w:marBottom w:val="20"/>
          <w:divBdr>
            <w:top w:val="none" w:sz="0" w:space="0" w:color="auto"/>
            <w:left w:val="none" w:sz="0" w:space="0" w:color="auto"/>
            <w:bottom w:val="none" w:sz="0" w:space="0" w:color="auto"/>
            <w:right w:val="none" w:sz="0" w:space="0" w:color="auto"/>
          </w:divBdr>
        </w:div>
        <w:div w:id="331181645">
          <w:marLeft w:val="0"/>
          <w:marRight w:val="0"/>
          <w:marTop w:val="0"/>
          <w:marBottom w:val="20"/>
          <w:divBdr>
            <w:top w:val="none" w:sz="0" w:space="0" w:color="auto"/>
            <w:left w:val="none" w:sz="0" w:space="0" w:color="auto"/>
            <w:bottom w:val="none" w:sz="0" w:space="0" w:color="auto"/>
            <w:right w:val="none" w:sz="0" w:space="0" w:color="auto"/>
          </w:divBdr>
        </w:div>
        <w:div w:id="827597953">
          <w:marLeft w:val="0"/>
          <w:marRight w:val="0"/>
          <w:marTop w:val="0"/>
          <w:marBottom w:val="20"/>
          <w:divBdr>
            <w:top w:val="none" w:sz="0" w:space="0" w:color="auto"/>
            <w:left w:val="none" w:sz="0" w:space="0" w:color="auto"/>
            <w:bottom w:val="none" w:sz="0" w:space="0" w:color="auto"/>
            <w:right w:val="none" w:sz="0" w:space="0" w:color="auto"/>
          </w:divBdr>
        </w:div>
        <w:div w:id="48311092">
          <w:marLeft w:val="0"/>
          <w:marRight w:val="0"/>
          <w:marTop w:val="0"/>
          <w:marBottom w:val="20"/>
          <w:divBdr>
            <w:top w:val="none" w:sz="0" w:space="0" w:color="auto"/>
            <w:left w:val="none" w:sz="0" w:space="0" w:color="auto"/>
            <w:bottom w:val="none" w:sz="0" w:space="0" w:color="auto"/>
            <w:right w:val="none" w:sz="0" w:space="0" w:color="auto"/>
          </w:divBdr>
        </w:div>
        <w:div w:id="1108357320">
          <w:marLeft w:val="0"/>
          <w:marRight w:val="0"/>
          <w:marTop w:val="0"/>
          <w:marBottom w:val="20"/>
          <w:divBdr>
            <w:top w:val="none" w:sz="0" w:space="0" w:color="auto"/>
            <w:left w:val="none" w:sz="0" w:space="0" w:color="auto"/>
            <w:bottom w:val="none" w:sz="0" w:space="0" w:color="auto"/>
            <w:right w:val="none" w:sz="0" w:space="0" w:color="auto"/>
          </w:divBdr>
        </w:div>
        <w:div w:id="1989940415">
          <w:marLeft w:val="0"/>
          <w:marRight w:val="0"/>
          <w:marTop w:val="0"/>
          <w:marBottom w:val="20"/>
          <w:divBdr>
            <w:top w:val="none" w:sz="0" w:space="0" w:color="auto"/>
            <w:left w:val="none" w:sz="0" w:space="0" w:color="auto"/>
            <w:bottom w:val="none" w:sz="0" w:space="0" w:color="auto"/>
            <w:right w:val="none" w:sz="0" w:space="0" w:color="auto"/>
          </w:divBdr>
        </w:div>
        <w:div w:id="34699921">
          <w:marLeft w:val="0"/>
          <w:marRight w:val="0"/>
          <w:marTop w:val="0"/>
          <w:marBottom w:val="20"/>
          <w:divBdr>
            <w:top w:val="none" w:sz="0" w:space="0" w:color="auto"/>
            <w:left w:val="none" w:sz="0" w:space="0" w:color="auto"/>
            <w:bottom w:val="none" w:sz="0" w:space="0" w:color="auto"/>
            <w:right w:val="none" w:sz="0" w:space="0" w:color="auto"/>
          </w:divBdr>
        </w:div>
        <w:div w:id="1003094384">
          <w:marLeft w:val="0"/>
          <w:marRight w:val="0"/>
          <w:marTop w:val="0"/>
          <w:marBottom w:val="20"/>
          <w:divBdr>
            <w:top w:val="none" w:sz="0" w:space="0" w:color="auto"/>
            <w:left w:val="none" w:sz="0" w:space="0" w:color="auto"/>
            <w:bottom w:val="none" w:sz="0" w:space="0" w:color="auto"/>
            <w:right w:val="none" w:sz="0" w:space="0" w:color="auto"/>
          </w:divBdr>
        </w:div>
        <w:div w:id="1080366886">
          <w:marLeft w:val="0"/>
          <w:marRight w:val="0"/>
          <w:marTop w:val="0"/>
          <w:marBottom w:val="20"/>
          <w:divBdr>
            <w:top w:val="none" w:sz="0" w:space="0" w:color="auto"/>
            <w:left w:val="none" w:sz="0" w:space="0" w:color="auto"/>
            <w:bottom w:val="none" w:sz="0" w:space="0" w:color="auto"/>
            <w:right w:val="none" w:sz="0" w:space="0" w:color="auto"/>
          </w:divBdr>
        </w:div>
        <w:div w:id="335544992">
          <w:marLeft w:val="0"/>
          <w:marRight w:val="0"/>
          <w:marTop w:val="0"/>
          <w:marBottom w:val="20"/>
          <w:divBdr>
            <w:top w:val="none" w:sz="0" w:space="0" w:color="auto"/>
            <w:left w:val="none" w:sz="0" w:space="0" w:color="auto"/>
            <w:bottom w:val="none" w:sz="0" w:space="0" w:color="auto"/>
            <w:right w:val="none" w:sz="0" w:space="0" w:color="auto"/>
          </w:divBdr>
        </w:div>
        <w:div w:id="1326055846">
          <w:marLeft w:val="0"/>
          <w:marRight w:val="0"/>
          <w:marTop w:val="0"/>
          <w:marBottom w:val="20"/>
          <w:divBdr>
            <w:top w:val="none" w:sz="0" w:space="0" w:color="auto"/>
            <w:left w:val="none" w:sz="0" w:space="0" w:color="auto"/>
            <w:bottom w:val="none" w:sz="0" w:space="0" w:color="auto"/>
            <w:right w:val="none" w:sz="0" w:space="0" w:color="auto"/>
          </w:divBdr>
        </w:div>
        <w:div w:id="675689681">
          <w:marLeft w:val="0"/>
          <w:marRight w:val="0"/>
          <w:marTop w:val="0"/>
          <w:marBottom w:val="20"/>
          <w:divBdr>
            <w:top w:val="none" w:sz="0" w:space="0" w:color="auto"/>
            <w:left w:val="none" w:sz="0" w:space="0" w:color="auto"/>
            <w:bottom w:val="none" w:sz="0" w:space="0" w:color="auto"/>
            <w:right w:val="none" w:sz="0" w:space="0" w:color="auto"/>
          </w:divBdr>
        </w:div>
        <w:div w:id="1134179168">
          <w:marLeft w:val="0"/>
          <w:marRight w:val="0"/>
          <w:marTop w:val="0"/>
          <w:marBottom w:val="20"/>
          <w:divBdr>
            <w:top w:val="none" w:sz="0" w:space="0" w:color="auto"/>
            <w:left w:val="none" w:sz="0" w:space="0" w:color="auto"/>
            <w:bottom w:val="none" w:sz="0" w:space="0" w:color="auto"/>
            <w:right w:val="none" w:sz="0" w:space="0" w:color="auto"/>
          </w:divBdr>
        </w:div>
        <w:div w:id="1910967349">
          <w:marLeft w:val="0"/>
          <w:marRight w:val="0"/>
          <w:marTop w:val="0"/>
          <w:marBottom w:val="20"/>
          <w:divBdr>
            <w:top w:val="none" w:sz="0" w:space="0" w:color="auto"/>
            <w:left w:val="none" w:sz="0" w:space="0" w:color="auto"/>
            <w:bottom w:val="none" w:sz="0" w:space="0" w:color="auto"/>
            <w:right w:val="none" w:sz="0" w:space="0" w:color="auto"/>
          </w:divBdr>
        </w:div>
        <w:div w:id="1701591415">
          <w:marLeft w:val="0"/>
          <w:marRight w:val="0"/>
          <w:marTop w:val="0"/>
          <w:marBottom w:val="20"/>
          <w:divBdr>
            <w:top w:val="none" w:sz="0" w:space="0" w:color="auto"/>
            <w:left w:val="none" w:sz="0" w:space="0" w:color="auto"/>
            <w:bottom w:val="none" w:sz="0" w:space="0" w:color="auto"/>
            <w:right w:val="none" w:sz="0" w:space="0" w:color="auto"/>
          </w:divBdr>
        </w:div>
        <w:div w:id="689725231">
          <w:marLeft w:val="0"/>
          <w:marRight w:val="0"/>
          <w:marTop w:val="0"/>
          <w:marBottom w:val="20"/>
          <w:divBdr>
            <w:top w:val="none" w:sz="0" w:space="0" w:color="auto"/>
            <w:left w:val="none" w:sz="0" w:space="0" w:color="auto"/>
            <w:bottom w:val="none" w:sz="0" w:space="0" w:color="auto"/>
            <w:right w:val="none" w:sz="0" w:space="0" w:color="auto"/>
          </w:divBdr>
        </w:div>
        <w:div w:id="924606785">
          <w:marLeft w:val="0"/>
          <w:marRight w:val="0"/>
          <w:marTop w:val="0"/>
          <w:marBottom w:val="20"/>
          <w:divBdr>
            <w:top w:val="none" w:sz="0" w:space="0" w:color="auto"/>
            <w:left w:val="none" w:sz="0" w:space="0" w:color="auto"/>
            <w:bottom w:val="none" w:sz="0" w:space="0" w:color="auto"/>
            <w:right w:val="none" w:sz="0" w:space="0" w:color="auto"/>
          </w:divBdr>
        </w:div>
        <w:div w:id="635985141">
          <w:marLeft w:val="0"/>
          <w:marRight w:val="0"/>
          <w:marTop w:val="0"/>
          <w:marBottom w:val="20"/>
          <w:divBdr>
            <w:top w:val="none" w:sz="0" w:space="0" w:color="auto"/>
            <w:left w:val="none" w:sz="0" w:space="0" w:color="auto"/>
            <w:bottom w:val="none" w:sz="0" w:space="0" w:color="auto"/>
            <w:right w:val="none" w:sz="0" w:space="0" w:color="auto"/>
          </w:divBdr>
        </w:div>
        <w:div w:id="1109474373">
          <w:marLeft w:val="0"/>
          <w:marRight w:val="0"/>
          <w:marTop w:val="0"/>
          <w:marBottom w:val="20"/>
          <w:divBdr>
            <w:top w:val="none" w:sz="0" w:space="0" w:color="auto"/>
            <w:left w:val="none" w:sz="0" w:space="0" w:color="auto"/>
            <w:bottom w:val="none" w:sz="0" w:space="0" w:color="auto"/>
            <w:right w:val="none" w:sz="0" w:space="0" w:color="auto"/>
          </w:divBdr>
        </w:div>
        <w:div w:id="723523353">
          <w:marLeft w:val="0"/>
          <w:marRight w:val="0"/>
          <w:marTop w:val="0"/>
          <w:marBottom w:val="20"/>
          <w:divBdr>
            <w:top w:val="none" w:sz="0" w:space="0" w:color="auto"/>
            <w:left w:val="none" w:sz="0" w:space="0" w:color="auto"/>
            <w:bottom w:val="none" w:sz="0" w:space="0" w:color="auto"/>
            <w:right w:val="none" w:sz="0" w:space="0" w:color="auto"/>
          </w:divBdr>
        </w:div>
        <w:div w:id="806627351">
          <w:marLeft w:val="0"/>
          <w:marRight w:val="0"/>
          <w:marTop w:val="0"/>
          <w:marBottom w:val="20"/>
          <w:divBdr>
            <w:top w:val="none" w:sz="0" w:space="0" w:color="auto"/>
            <w:left w:val="none" w:sz="0" w:space="0" w:color="auto"/>
            <w:bottom w:val="none" w:sz="0" w:space="0" w:color="auto"/>
            <w:right w:val="none" w:sz="0" w:space="0" w:color="auto"/>
          </w:divBdr>
        </w:div>
        <w:div w:id="173343129">
          <w:marLeft w:val="0"/>
          <w:marRight w:val="0"/>
          <w:marTop w:val="0"/>
          <w:marBottom w:val="20"/>
          <w:divBdr>
            <w:top w:val="none" w:sz="0" w:space="0" w:color="auto"/>
            <w:left w:val="none" w:sz="0" w:space="0" w:color="auto"/>
            <w:bottom w:val="none" w:sz="0" w:space="0" w:color="auto"/>
            <w:right w:val="none" w:sz="0" w:space="0" w:color="auto"/>
          </w:divBdr>
        </w:div>
        <w:div w:id="1159267156">
          <w:marLeft w:val="0"/>
          <w:marRight w:val="0"/>
          <w:marTop w:val="0"/>
          <w:marBottom w:val="60"/>
          <w:divBdr>
            <w:top w:val="none" w:sz="0" w:space="0" w:color="auto"/>
            <w:left w:val="none" w:sz="0" w:space="0" w:color="auto"/>
            <w:bottom w:val="none" w:sz="0" w:space="0" w:color="auto"/>
            <w:right w:val="none" w:sz="0" w:space="0" w:color="auto"/>
          </w:divBdr>
        </w:div>
        <w:div w:id="917521221">
          <w:marLeft w:val="900"/>
          <w:marRight w:val="0"/>
          <w:marTop w:val="0"/>
          <w:marBottom w:val="60"/>
          <w:divBdr>
            <w:top w:val="none" w:sz="0" w:space="0" w:color="auto"/>
            <w:left w:val="none" w:sz="0" w:space="0" w:color="auto"/>
            <w:bottom w:val="none" w:sz="0" w:space="0" w:color="auto"/>
            <w:right w:val="none" w:sz="0" w:space="0" w:color="auto"/>
          </w:divBdr>
        </w:div>
        <w:div w:id="1043989200">
          <w:marLeft w:val="1260"/>
          <w:marRight w:val="0"/>
          <w:marTop w:val="0"/>
          <w:marBottom w:val="60"/>
          <w:divBdr>
            <w:top w:val="none" w:sz="0" w:space="0" w:color="auto"/>
            <w:left w:val="none" w:sz="0" w:space="0" w:color="auto"/>
            <w:bottom w:val="none" w:sz="0" w:space="0" w:color="auto"/>
            <w:right w:val="none" w:sz="0" w:space="0" w:color="auto"/>
          </w:divBdr>
        </w:div>
        <w:div w:id="8484867">
          <w:marLeft w:val="1267"/>
          <w:marRight w:val="0"/>
          <w:marTop w:val="0"/>
          <w:marBottom w:val="60"/>
          <w:divBdr>
            <w:top w:val="none" w:sz="0" w:space="0" w:color="auto"/>
            <w:left w:val="none" w:sz="0" w:space="0" w:color="auto"/>
            <w:bottom w:val="none" w:sz="0" w:space="0" w:color="auto"/>
            <w:right w:val="none" w:sz="0" w:space="0" w:color="auto"/>
          </w:divBdr>
        </w:div>
        <w:div w:id="1171679851">
          <w:marLeft w:val="1260"/>
          <w:marRight w:val="0"/>
          <w:marTop w:val="0"/>
          <w:marBottom w:val="60"/>
          <w:divBdr>
            <w:top w:val="none" w:sz="0" w:space="0" w:color="auto"/>
            <w:left w:val="none" w:sz="0" w:space="0" w:color="auto"/>
            <w:bottom w:val="none" w:sz="0" w:space="0" w:color="auto"/>
            <w:right w:val="none" w:sz="0" w:space="0" w:color="auto"/>
          </w:divBdr>
        </w:div>
        <w:div w:id="816339212">
          <w:marLeft w:val="1267"/>
          <w:marRight w:val="0"/>
          <w:marTop w:val="0"/>
          <w:marBottom w:val="60"/>
          <w:divBdr>
            <w:top w:val="none" w:sz="0" w:space="0" w:color="auto"/>
            <w:left w:val="none" w:sz="0" w:space="0" w:color="auto"/>
            <w:bottom w:val="none" w:sz="0" w:space="0" w:color="auto"/>
            <w:right w:val="none" w:sz="0" w:space="0" w:color="auto"/>
          </w:divBdr>
        </w:div>
        <w:div w:id="1154832763">
          <w:marLeft w:val="1267"/>
          <w:marRight w:val="0"/>
          <w:marTop w:val="0"/>
          <w:marBottom w:val="60"/>
          <w:divBdr>
            <w:top w:val="none" w:sz="0" w:space="0" w:color="auto"/>
            <w:left w:val="none" w:sz="0" w:space="0" w:color="auto"/>
            <w:bottom w:val="none" w:sz="0" w:space="0" w:color="auto"/>
            <w:right w:val="none" w:sz="0" w:space="0" w:color="auto"/>
          </w:divBdr>
        </w:div>
        <w:div w:id="1489589829">
          <w:marLeft w:val="1267"/>
          <w:marRight w:val="0"/>
          <w:marTop w:val="0"/>
          <w:marBottom w:val="60"/>
          <w:divBdr>
            <w:top w:val="none" w:sz="0" w:space="0" w:color="auto"/>
            <w:left w:val="none" w:sz="0" w:space="0" w:color="auto"/>
            <w:bottom w:val="none" w:sz="0" w:space="0" w:color="auto"/>
            <w:right w:val="none" w:sz="0" w:space="0" w:color="auto"/>
          </w:divBdr>
        </w:div>
        <w:div w:id="1000352850">
          <w:marLeft w:val="1267"/>
          <w:marRight w:val="0"/>
          <w:marTop w:val="0"/>
          <w:marBottom w:val="101"/>
          <w:divBdr>
            <w:top w:val="none" w:sz="0" w:space="0" w:color="auto"/>
            <w:left w:val="none" w:sz="0" w:space="0" w:color="auto"/>
            <w:bottom w:val="none" w:sz="0" w:space="0" w:color="auto"/>
            <w:right w:val="none" w:sz="0" w:space="0" w:color="auto"/>
          </w:divBdr>
        </w:div>
        <w:div w:id="1238247655">
          <w:marLeft w:val="0"/>
          <w:marRight w:val="0"/>
          <w:marTop w:val="0"/>
          <w:marBottom w:val="101"/>
          <w:divBdr>
            <w:top w:val="none" w:sz="0" w:space="0" w:color="auto"/>
            <w:left w:val="none" w:sz="0" w:space="0" w:color="auto"/>
            <w:bottom w:val="single" w:sz="6" w:space="0" w:color="000000"/>
            <w:right w:val="none" w:sz="0" w:space="0" w:color="auto"/>
          </w:divBdr>
        </w:div>
        <w:div w:id="1116947004">
          <w:marLeft w:val="0"/>
          <w:marRight w:val="0"/>
          <w:marTop w:val="0"/>
          <w:marBottom w:val="101"/>
          <w:divBdr>
            <w:top w:val="none" w:sz="0" w:space="0" w:color="auto"/>
            <w:left w:val="none" w:sz="0" w:space="0" w:color="auto"/>
            <w:bottom w:val="single" w:sz="6" w:space="0" w:color="000000"/>
            <w:right w:val="none" w:sz="0" w:space="0" w:color="auto"/>
          </w:divBdr>
        </w:div>
        <w:div w:id="576137327">
          <w:marLeft w:val="0"/>
          <w:marRight w:val="0"/>
          <w:marTop w:val="0"/>
          <w:marBottom w:val="101"/>
          <w:divBdr>
            <w:top w:val="none" w:sz="0" w:space="0" w:color="auto"/>
            <w:left w:val="none" w:sz="0" w:space="0" w:color="auto"/>
            <w:bottom w:val="single" w:sz="6" w:space="0" w:color="000000"/>
            <w:right w:val="none" w:sz="0" w:space="0" w:color="auto"/>
          </w:divBdr>
        </w:div>
        <w:div w:id="1203053086">
          <w:marLeft w:val="907"/>
          <w:marRight w:val="0"/>
          <w:marTop w:val="0"/>
          <w:marBottom w:val="60"/>
          <w:divBdr>
            <w:top w:val="none" w:sz="0" w:space="0" w:color="auto"/>
            <w:left w:val="none" w:sz="0" w:space="0" w:color="auto"/>
            <w:bottom w:val="none" w:sz="0" w:space="0" w:color="auto"/>
            <w:right w:val="none" w:sz="0" w:space="0" w:color="auto"/>
          </w:divBdr>
        </w:div>
        <w:div w:id="1491483924">
          <w:marLeft w:val="907"/>
          <w:marRight w:val="0"/>
          <w:marTop w:val="0"/>
          <w:marBottom w:val="60"/>
          <w:divBdr>
            <w:top w:val="none" w:sz="0" w:space="0" w:color="auto"/>
            <w:left w:val="none" w:sz="0" w:space="0" w:color="auto"/>
            <w:bottom w:val="none" w:sz="0" w:space="0" w:color="auto"/>
            <w:right w:val="none" w:sz="0" w:space="0" w:color="auto"/>
          </w:divBdr>
        </w:div>
        <w:div w:id="1119420488">
          <w:marLeft w:val="907"/>
          <w:marRight w:val="0"/>
          <w:marTop w:val="0"/>
          <w:marBottom w:val="60"/>
          <w:divBdr>
            <w:top w:val="none" w:sz="0" w:space="0" w:color="auto"/>
            <w:left w:val="none" w:sz="0" w:space="0" w:color="auto"/>
            <w:bottom w:val="none" w:sz="0" w:space="0" w:color="auto"/>
            <w:right w:val="none" w:sz="0" w:space="0" w:color="auto"/>
          </w:divBdr>
        </w:div>
        <w:div w:id="1433164378">
          <w:marLeft w:val="907"/>
          <w:marRight w:val="0"/>
          <w:marTop w:val="0"/>
          <w:marBottom w:val="60"/>
          <w:divBdr>
            <w:top w:val="none" w:sz="0" w:space="0" w:color="auto"/>
            <w:left w:val="none" w:sz="0" w:space="0" w:color="auto"/>
            <w:bottom w:val="none" w:sz="0" w:space="0" w:color="auto"/>
            <w:right w:val="none" w:sz="0" w:space="0" w:color="auto"/>
          </w:divBdr>
        </w:div>
        <w:div w:id="1151870834">
          <w:marLeft w:val="907"/>
          <w:marRight w:val="0"/>
          <w:marTop w:val="0"/>
          <w:marBottom w:val="60"/>
          <w:divBdr>
            <w:top w:val="none" w:sz="0" w:space="0" w:color="auto"/>
            <w:left w:val="none" w:sz="0" w:space="0" w:color="auto"/>
            <w:bottom w:val="none" w:sz="0" w:space="0" w:color="auto"/>
            <w:right w:val="none" w:sz="0" w:space="0" w:color="auto"/>
          </w:divBdr>
        </w:div>
        <w:div w:id="1540162079">
          <w:marLeft w:val="907"/>
          <w:marRight w:val="0"/>
          <w:marTop w:val="0"/>
          <w:marBottom w:val="60"/>
          <w:divBdr>
            <w:top w:val="none" w:sz="0" w:space="0" w:color="auto"/>
            <w:left w:val="none" w:sz="0" w:space="0" w:color="auto"/>
            <w:bottom w:val="none" w:sz="0" w:space="0" w:color="auto"/>
            <w:right w:val="none" w:sz="0" w:space="0" w:color="auto"/>
          </w:divBdr>
        </w:div>
        <w:div w:id="1975212863">
          <w:marLeft w:val="907"/>
          <w:marRight w:val="0"/>
          <w:marTop w:val="0"/>
          <w:marBottom w:val="60"/>
          <w:divBdr>
            <w:top w:val="none" w:sz="0" w:space="0" w:color="auto"/>
            <w:left w:val="none" w:sz="0" w:space="0" w:color="auto"/>
            <w:bottom w:val="none" w:sz="0" w:space="0" w:color="auto"/>
            <w:right w:val="none" w:sz="0" w:space="0" w:color="auto"/>
          </w:divBdr>
        </w:div>
        <w:div w:id="776364137">
          <w:marLeft w:val="907"/>
          <w:marRight w:val="0"/>
          <w:marTop w:val="0"/>
          <w:marBottom w:val="60"/>
          <w:divBdr>
            <w:top w:val="none" w:sz="0" w:space="0" w:color="auto"/>
            <w:left w:val="none" w:sz="0" w:space="0" w:color="auto"/>
            <w:bottom w:val="none" w:sz="0" w:space="0" w:color="auto"/>
            <w:right w:val="none" w:sz="0" w:space="0" w:color="auto"/>
          </w:divBdr>
        </w:div>
        <w:div w:id="1170104110">
          <w:marLeft w:val="907"/>
          <w:marRight w:val="0"/>
          <w:marTop w:val="0"/>
          <w:marBottom w:val="60"/>
          <w:divBdr>
            <w:top w:val="none" w:sz="0" w:space="0" w:color="auto"/>
            <w:left w:val="none" w:sz="0" w:space="0" w:color="auto"/>
            <w:bottom w:val="none" w:sz="0" w:space="0" w:color="auto"/>
            <w:right w:val="none" w:sz="0" w:space="0" w:color="auto"/>
          </w:divBdr>
        </w:div>
        <w:div w:id="298651427">
          <w:marLeft w:val="907"/>
          <w:marRight w:val="0"/>
          <w:marTop w:val="0"/>
          <w:marBottom w:val="60"/>
          <w:divBdr>
            <w:top w:val="none" w:sz="0" w:space="0" w:color="auto"/>
            <w:left w:val="none" w:sz="0" w:space="0" w:color="auto"/>
            <w:bottom w:val="none" w:sz="0" w:space="0" w:color="auto"/>
            <w:right w:val="none" w:sz="0" w:space="0" w:color="auto"/>
          </w:divBdr>
        </w:div>
        <w:div w:id="1045562696">
          <w:marLeft w:val="907"/>
          <w:marRight w:val="0"/>
          <w:marTop w:val="0"/>
          <w:marBottom w:val="60"/>
          <w:divBdr>
            <w:top w:val="none" w:sz="0" w:space="0" w:color="auto"/>
            <w:left w:val="none" w:sz="0" w:space="0" w:color="auto"/>
            <w:bottom w:val="none" w:sz="0" w:space="0" w:color="auto"/>
            <w:right w:val="none" w:sz="0" w:space="0" w:color="auto"/>
          </w:divBdr>
        </w:div>
        <w:div w:id="686716586">
          <w:marLeft w:val="907"/>
          <w:marRight w:val="0"/>
          <w:marTop w:val="0"/>
          <w:marBottom w:val="60"/>
          <w:divBdr>
            <w:top w:val="none" w:sz="0" w:space="0" w:color="auto"/>
            <w:left w:val="none" w:sz="0" w:space="0" w:color="auto"/>
            <w:bottom w:val="none" w:sz="0" w:space="0" w:color="auto"/>
            <w:right w:val="none" w:sz="0" w:space="0" w:color="auto"/>
          </w:divBdr>
        </w:div>
        <w:div w:id="209465698">
          <w:marLeft w:val="907"/>
          <w:marRight w:val="0"/>
          <w:marTop w:val="0"/>
          <w:marBottom w:val="60"/>
          <w:divBdr>
            <w:top w:val="none" w:sz="0" w:space="0" w:color="auto"/>
            <w:left w:val="none" w:sz="0" w:space="0" w:color="auto"/>
            <w:bottom w:val="none" w:sz="0" w:space="0" w:color="auto"/>
            <w:right w:val="none" w:sz="0" w:space="0" w:color="auto"/>
          </w:divBdr>
        </w:div>
        <w:div w:id="376511717">
          <w:marLeft w:val="900"/>
          <w:marRight w:val="0"/>
          <w:marTop w:val="0"/>
          <w:marBottom w:val="101"/>
          <w:divBdr>
            <w:top w:val="none" w:sz="0" w:space="0" w:color="auto"/>
            <w:left w:val="none" w:sz="0" w:space="0" w:color="auto"/>
            <w:bottom w:val="none" w:sz="0" w:space="0" w:color="auto"/>
            <w:right w:val="none" w:sz="0" w:space="0" w:color="auto"/>
          </w:divBdr>
        </w:div>
        <w:div w:id="317194623">
          <w:marLeft w:val="900"/>
          <w:marRight w:val="0"/>
          <w:marTop w:val="0"/>
          <w:marBottom w:val="101"/>
          <w:divBdr>
            <w:top w:val="none" w:sz="0" w:space="0" w:color="auto"/>
            <w:left w:val="none" w:sz="0" w:space="0" w:color="auto"/>
            <w:bottom w:val="none" w:sz="0" w:space="0" w:color="auto"/>
            <w:right w:val="none" w:sz="0" w:space="0" w:color="auto"/>
          </w:divBdr>
        </w:div>
        <w:div w:id="1578052679">
          <w:marLeft w:val="907"/>
          <w:marRight w:val="0"/>
          <w:marTop w:val="0"/>
          <w:marBottom w:val="80"/>
          <w:divBdr>
            <w:top w:val="none" w:sz="0" w:space="0" w:color="auto"/>
            <w:left w:val="none" w:sz="0" w:space="0" w:color="auto"/>
            <w:bottom w:val="none" w:sz="0" w:space="0" w:color="auto"/>
            <w:right w:val="none" w:sz="0" w:space="0" w:color="auto"/>
          </w:divBdr>
        </w:div>
        <w:div w:id="1173447588">
          <w:marLeft w:val="907"/>
          <w:marRight w:val="0"/>
          <w:marTop w:val="0"/>
          <w:marBottom w:val="80"/>
          <w:divBdr>
            <w:top w:val="none" w:sz="0" w:space="0" w:color="auto"/>
            <w:left w:val="none" w:sz="0" w:space="0" w:color="auto"/>
            <w:bottom w:val="none" w:sz="0" w:space="0" w:color="auto"/>
            <w:right w:val="none" w:sz="0" w:space="0" w:color="auto"/>
          </w:divBdr>
        </w:div>
        <w:div w:id="720518724">
          <w:marLeft w:val="907"/>
          <w:marRight w:val="0"/>
          <w:marTop w:val="0"/>
          <w:marBottom w:val="80"/>
          <w:divBdr>
            <w:top w:val="none" w:sz="0" w:space="0" w:color="auto"/>
            <w:left w:val="none" w:sz="0" w:space="0" w:color="auto"/>
            <w:bottom w:val="none" w:sz="0" w:space="0" w:color="auto"/>
            <w:right w:val="none" w:sz="0" w:space="0" w:color="auto"/>
          </w:divBdr>
        </w:div>
        <w:div w:id="1509905357">
          <w:marLeft w:val="907"/>
          <w:marRight w:val="0"/>
          <w:marTop w:val="0"/>
          <w:marBottom w:val="80"/>
          <w:divBdr>
            <w:top w:val="none" w:sz="0" w:space="0" w:color="auto"/>
            <w:left w:val="none" w:sz="0" w:space="0" w:color="auto"/>
            <w:bottom w:val="none" w:sz="0" w:space="0" w:color="auto"/>
            <w:right w:val="none" w:sz="0" w:space="0" w:color="auto"/>
          </w:divBdr>
        </w:div>
        <w:div w:id="218980123">
          <w:marLeft w:val="907"/>
          <w:marRight w:val="0"/>
          <w:marTop w:val="0"/>
          <w:marBottom w:val="80"/>
          <w:divBdr>
            <w:top w:val="none" w:sz="0" w:space="0" w:color="auto"/>
            <w:left w:val="none" w:sz="0" w:space="0" w:color="auto"/>
            <w:bottom w:val="none" w:sz="0" w:space="0" w:color="auto"/>
            <w:right w:val="none" w:sz="0" w:space="0" w:color="auto"/>
          </w:divBdr>
        </w:div>
        <w:div w:id="1102728915">
          <w:marLeft w:val="907"/>
          <w:marRight w:val="0"/>
          <w:marTop w:val="0"/>
          <w:marBottom w:val="80"/>
          <w:divBdr>
            <w:top w:val="none" w:sz="0" w:space="0" w:color="auto"/>
            <w:left w:val="none" w:sz="0" w:space="0" w:color="auto"/>
            <w:bottom w:val="none" w:sz="0" w:space="0" w:color="auto"/>
            <w:right w:val="none" w:sz="0" w:space="0" w:color="auto"/>
          </w:divBdr>
        </w:div>
        <w:div w:id="615987539">
          <w:marLeft w:val="907"/>
          <w:marRight w:val="0"/>
          <w:marTop w:val="0"/>
          <w:marBottom w:val="80"/>
          <w:divBdr>
            <w:top w:val="none" w:sz="0" w:space="0" w:color="auto"/>
            <w:left w:val="none" w:sz="0" w:space="0" w:color="auto"/>
            <w:bottom w:val="none" w:sz="0" w:space="0" w:color="auto"/>
            <w:right w:val="none" w:sz="0" w:space="0" w:color="auto"/>
          </w:divBdr>
        </w:div>
        <w:div w:id="1169560005">
          <w:marLeft w:val="907"/>
          <w:marRight w:val="0"/>
          <w:marTop w:val="0"/>
          <w:marBottom w:val="0"/>
          <w:divBdr>
            <w:top w:val="none" w:sz="0" w:space="0" w:color="auto"/>
            <w:left w:val="none" w:sz="0" w:space="0" w:color="auto"/>
            <w:bottom w:val="none" w:sz="0" w:space="0" w:color="auto"/>
            <w:right w:val="none" w:sz="0" w:space="0" w:color="auto"/>
          </w:divBdr>
        </w:div>
        <w:div w:id="843785574">
          <w:marLeft w:val="907"/>
          <w:marRight w:val="0"/>
          <w:marTop w:val="0"/>
          <w:marBottom w:val="80"/>
          <w:divBdr>
            <w:top w:val="none" w:sz="0" w:space="0" w:color="auto"/>
            <w:left w:val="none" w:sz="0" w:space="0" w:color="auto"/>
            <w:bottom w:val="none" w:sz="0" w:space="0" w:color="auto"/>
            <w:right w:val="none" w:sz="0" w:space="0" w:color="auto"/>
          </w:divBdr>
        </w:div>
        <w:div w:id="1344670111">
          <w:marLeft w:val="907"/>
          <w:marRight w:val="0"/>
          <w:marTop w:val="0"/>
          <w:marBottom w:val="80"/>
          <w:divBdr>
            <w:top w:val="none" w:sz="0" w:space="0" w:color="auto"/>
            <w:left w:val="none" w:sz="0" w:space="0" w:color="auto"/>
            <w:bottom w:val="none" w:sz="0" w:space="0" w:color="auto"/>
            <w:right w:val="none" w:sz="0" w:space="0" w:color="auto"/>
          </w:divBdr>
        </w:div>
        <w:div w:id="313804679">
          <w:marLeft w:val="907"/>
          <w:marRight w:val="0"/>
          <w:marTop w:val="0"/>
          <w:marBottom w:val="80"/>
          <w:divBdr>
            <w:top w:val="none" w:sz="0" w:space="0" w:color="auto"/>
            <w:left w:val="none" w:sz="0" w:space="0" w:color="auto"/>
            <w:bottom w:val="none" w:sz="0" w:space="0" w:color="auto"/>
            <w:right w:val="none" w:sz="0" w:space="0" w:color="auto"/>
          </w:divBdr>
        </w:div>
        <w:div w:id="748694538">
          <w:marLeft w:val="907"/>
          <w:marRight w:val="0"/>
          <w:marTop w:val="0"/>
          <w:marBottom w:val="101"/>
          <w:divBdr>
            <w:top w:val="none" w:sz="0" w:space="0" w:color="auto"/>
            <w:left w:val="none" w:sz="0" w:space="0" w:color="auto"/>
            <w:bottom w:val="none" w:sz="0" w:space="0" w:color="auto"/>
            <w:right w:val="none" w:sz="0" w:space="0" w:color="auto"/>
          </w:divBdr>
        </w:div>
        <w:div w:id="390925097">
          <w:marLeft w:val="907"/>
          <w:marRight w:val="0"/>
          <w:marTop w:val="0"/>
          <w:marBottom w:val="101"/>
          <w:divBdr>
            <w:top w:val="none" w:sz="0" w:space="0" w:color="auto"/>
            <w:left w:val="none" w:sz="0" w:space="0" w:color="auto"/>
            <w:bottom w:val="none" w:sz="0" w:space="0" w:color="auto"/>
            <w:right w:val="none" w:sz="0" w:space="0" w:color="auto"/>
          </w:divBdr>
        </w:div>
        <w:div w:id="994606596">
          <w:marLeft w:val="907"/>
          <w:marRight w:val="0"/>
          <w:marTop w:val="0"/>
          <w:marBottom w:val="101"/>
          <w:divBdr>
            <w:top w:val="none" w:sz="0" w:space="0" w:color="auto"/>
            <w:left w:val="none" w:sz="0" w:space="0" w:color="auto"/>
            <w:bottom w:val="none" w:sz="0" w:space="0" w:color="auto"/>
            <w:right w:val="none" w:sz="0" w:space="0" w:color="auto"/>
          </w:divBdr>
        </w:div>
        <w:div w:id="529103044">
          <w:marLeft w:val="907"/>
          <w:marRight w:val="0"/>
          <w:marTop w:val="0"/>
          <w:marBottom w:val="101"/>
          <w:divBdr>
            <w:top w:val="none" w:sz="0" w:space="0" w:color="auto"/>
            <w:left w:val="none" w:sz="0" w:space="0" w:color="auto"/>
            <w:bottom w:val="none" w:sz="0" w:space="0" w:color="auto"/>
            <w:right w:val="none" w:sz="0" w:space="0" w:color="auto"/>
          </w:divBdr>
        </w:div>
        <w:div w:id="515535569">
          <w:marLeft w:val="907"/>
          <w:marRight w:val="0"/>
          <w:marTop w:val="0"/>
          <w:marBottom w:val="101"/>
          <w:divBdr>
            <w:top w:val="none" w:sz="0" w:space="0" w:color="auto"/>
            <w:left w:val="none" w:sz="0" w:space="0" w:color="auto"/>
            <w:bottom w:val="none" w:sz="0" w:space="0" w:color="auto"/>
            <w:right w:val="none" w:sz="0" w:space="0" w:color="auto"/>
          </w:divBdr>
        </w:div>
        <w:div w:id="1984773434">
          <w:marLeft w:val="907"/>
          <w:marRight w:val="0"/>
          <w:marTop w:val="0"/>
          <w:marBottom w:val="101"/>
          <w:divBdr>
            <w:top w:val="none" w:sz="0" w:space="0" w:color="auto"/>
            <w:left w:val="none" w:sz="0" w:space="0" w:color="auto"/>
            <w:bottom w:val="none" w:sz="0" w:space="0" w:color="auto"/>
            <w:right w:val="none" w:sz="0" w:space="0" w:color="auto"/>
          </w:divBdr>
        </w:div>
        <w:div w:id="1877036254">
          <w:marLeft w:val="907"/>
          <w:marRight w:val="0"/>
          <w:marTop w:val="0"/>
          <w:marBottom w:val="101"/>
          <w:divBdr>
            <w:top w:val="none" w:sz="0" w:space="0" w:color="auto"/>
            <w:left w:val="none" w:sz="0" w:space="0" w:color="auto"/>
            <w:bottom w:val="none" w:sz="0" w:space="0" w:color="auto"/>
            <w:right w:val="none" w:sz="0" w:space="0" w:color="auto"/>
          </w:divBdr>
        </w:div>
        <w:div w:id="18237792">
          <w:marLeft w:val="907"/>
          <w:marRight w:val="0"/>
          <w:marTop w:val="0"/>
          <w:marBottom w:val="101"/>
          <w:divBdr>
            <w:top w:val="none" w:sz="0" w:space="0" w:color="auto"/>
            <w:left w:val="none" w:sz="0" w:space="0" w:color="auto"/>
            <w:bottom w:val="none" w:sz="0" w:space="0" w:color="auto"/>
            <w:right w:val="none" w:sz="0" w:space="0" w:color="auto"/>
          </w:divBdr>
        </w:div>
        <w:div w:id="2019843710">
          <w:marLeft w:val="907"/>
          <w:marRight w:val="0"/>
          <w:marTop w:val="0"/>
          <w:marBottom w:val="101"/>
          <w:divBdr>
            <w:top w:val="none" w:sz="0" w:space="0" w:color="auto"/>
            <w:left w:val="none" w:sz="0" w:space="0" w:color="auto"/>
            <w:bottom w:val="none" w:sz="0" w:space="0" w:color="auto"/>
            <w:right w:val="none" w:sz="0" w:space="0" w:color="auto"/>
          </w:divBdr>
        </w:div>
        <w:div w:id="453865296">
          <w:marLeft w:val="907"/>
          <w:marRight w:val="0"/>
          <w:marTop w:val="0"/>
          <w:marBottom w:val="101"/>
          <w:divBdr>
            <w:top w:val="none" w:sz="0" w:space="0" w:color="auto"/>
            <w:left w:val="none" w:sz="0" w:space="0" w:color="auto"/>
            <w:bottom w:val="none" w:sz="0" w:space="0" w:color="auto"/>
            <w:right w:val="none" w:sz="0" w:space="0" w:color="auto"/>
          </w:divBdr>
        </w:div>
        <w:div w:id="138306746">
          <w:marLeft w:val="907"/>
          <w:marRight w:val="0"/>
          <w:marTop w:val="0"/>
          <w:marBottom w:val="101"/>
          <w:divBdr>
            <w:top w:val="none" w:sz="0" w:space="0" w:color="auto"/>
            <w:left w:val="none" w:sz="0" w:space="0" w:color="auto"/>
            <w:bottom w:val="none" w:sz="0" w:space="0" w:color="auto"/>
            <w:right w:val="none" w:sz="0" w:space="0" w:color="auto"/>
          </w:divBdr>
        </w:div>
        <w:div w:id="1206025076">
          <w:marLeft w:val="907"/>
          <w:marRight w:val="0"/>
          <w:marTop w:val="0"/>
          <w:marBottom w:val="101"/>
          <w:divBdr>
            <w:top w:val="none" w:sz="0" w:space="0" w:color="auto"/>
            <w:left w:val="none" w:sz="0" w:space="0" w:color="auto"/>
            <w:bottom w:val="none" w:sz="0" w:space="0" w:color="auto"/>
            <w:right w:val="none" w:sz="0" w:space="0" w:color="auto"/>
          </w:divBdr>
        </w:div>
        <w:div w:id="1122188554">
          <w:marLeft w:val="907"/>
          <w:marRight w:val="0"/>
          <w:marTop w:val="0"/>
          <w:marBottom w:val="101"/>
          <w:divBdr>
            <w:top w:val="none" w:sz="0" w:space="0" w:color="auto"/>
            <w:left w:val="none" w:sz="0" w:space="0" w:color="auto"/>
            <w:bottom w:val="none" w:sz="0" w:space="0" w:color="auto"/>
            <w:right w:val="none" w:sz="0" w:space="0" w:color="auto"/>
          </w:divBdr>
        </w:div>
        <w:div w:id="1043403293">
          <w:marLeft w:val="907"/>
          <w:marRight w:val="0"/>
          <w:marTop w:val="0"/>
          <w:marBottom w:val="101"/>
          <w:divBdr>
            <w:top w:val="none" w:sz="0" w:space="0" w:color="auto"/>
            <w:left w:val="none" w:sz="0" w:space="0" w:color="auto"/>
            <w:bottom w:val="none" w:sz="0" w:space="0" w:color="auto"/>
            <w:right w:val="none" w:sz="0" w:space="0" w:color="auto"/>
          </w:divBdr>
        </w:div>
        <w:div w:id="2010867027">
          <w:marLeft w:val="907"/>
          <w:marRight w:val="0"/>
          <w:marTop w:val="0"/>
          <w:marBottom w:val="101"/>
          <w:divBdr>
            <w:top w:val="none" w:sz="0" w:space="0" w:color="auto"/>
            <w:left w:val="none" w:sz="0" w:space="0" w:color="auto"/>
            <w:bottom w:val="none" w:sz="0" w:space="0" w:color="auto"/>
            <w:right w:val="none" w:sz="0" w:space="0" w:color="auto"/>
          </w:divBdr>
        </w:div>
        <w:div w:id="1168592156">
          <w:marLeft w:val="907"/>
          <w:marRight w:val="0"/>
          <w:marTop w:val="0"/>
          <w:marBottom w:val="101"/>
          <w:divBdr>
            <w:top w:val="none" w:sz="0" w:space="0" w:color="auto"/>
            <w:left w:val="none" w:sz="0" w:space="0" w:color="auto"/>
            <w:bottom w:val="none" w:sz="0" w:space="0" w:color="auto"/>
            <w:right w:val="none" w:sz="0" w:space="0" w:color="auto"/>
          </w:divBdr>
        </w:div>
        <w:div w:id="1334410231">
          <w:marLeft w:val="900"/>
          <w:marRight w:val="0"/>
          <w:marTop w:val="0"/>
          <w:marBottom w:val="101"/>
          <w:divBdr>
            <w:top w:val="none" w:sz="0" w:space="0" w:color="auto"/>
            <w:left w:val="none" w:sz="0" w:space="0" w:color="auto"/>
            <w:bottom w:val="none" w:sz="0" w:space="0" w:color="auto"/>
            <w:right w:val="none" w:sz="0" w:space="0" w:color="auto"/>
          </w:divBdr>
        </w:div>
        <w:div w:id="1867283769">
          <w:marLeft w:val="900"/>
          <w:marRight w:val="0"/>
          <w:marTop w:val="0"/>
          <w:marBottom w:val="101"/>
          <w:divBdr>
            <w:top w:val="none" w:sz="0" w:space="0" w:color="auto"/>
            <w:left w:val="none" w:sz="0" w:space="0" w:color="auto"/>
            <w:bottom w:val="none" w:sz="0" w:space="0" w:color="auto"/>
            <w:right w:val="none" w:sz="0" w:space="0" w:color="auto"/>
          </w:divBdr>
        </w:div>
        <w:div w:id="320551100">
          <w:marLeft w:val="900"/>
          <w:marRight w:val="0"/>
          <w:marTop w:val="0"/>
          <w:marBottom w:val="101"/>
          <w:divBdr>
            <w:top w:val="none" w:sz="0" w:space="0" w:color="auto"/>
            <w:left w:val="none" w:sz="0" w:space="0" w:color="auto"/>
            <w:bottom w:val="none" w:sz="0" w:space="0" w:color="auto"/>
            <w:right w:val="none" w:sz="0" w:space="0" w:color="auto"/>
          </w:divBdr>
        </w:div>
        <w:div w:id="623313906">
          <w:marLeft w:val="900"/>
          <w:marRight w:val="0"/>
          <w:marTop w:val="0"/>
          <w:marBottom w:val="101"/>
          <w:divBdr>
            <w:top w:val="none" w:sz="0" w:space="0" w:color="auto"/>
            <w:left w:val="none" w:sz="0" w:space="0" w:color="auto"/>
            <w:bottom w:val="none" w:sz="0" w:space="0" w:color="auto"/>
            <w:right w:val="none" w:sz="0" w:space="0" w:color="auto"/>
          </w:divBdr>
        </w:div>
        <w:div w:id="1967084628">
          <w:marLeft w:val="900"/>
          <w:marRight w:val="0"/>
          <w:marTop w:val="0"/>
          <w:marBottom w:val="101"/>
          <w:divBdr>
            <w:top w:val="none" w:sz="0" w:space="0" w:color="auto"/>
            <w:left w:val="none" w:sz="0" w:space="0" w:color="auto"/>
            <w:bottom w:val="none" w:sz="0" w:space="0" w:color="auto"/>
            <w:right w:val="none" w:sz="0" w:space="0" w:color="auto"/>
          </w:divBdr>
        </w:div>
        <w:div w:id="1129710451">
          <w:marLeft w:val="900"/>
          <w:marRight w:val="0"/>
          <w:marTop w:val="0"/>
          <w:marBottom w:val="101"/>
          <w:divBdr>
            <w:top w:val="none" w:sz="0" w:space="0" w:color="auto"/>
            <w:left w:val="none" w:sz="0" w:space="0" w:color="auto"/>
            <w:bottom w:val="none" w:sz="0" w:space="0" w:color="auto"/>
            <w:right w:val="none" w:sz="0" w:space="0" w:color="auto"/>
          </w:divBdr>
        </w:div>
        <w:div w:id="1458254656">
          <w:marLeft w:val="1260"/>
          <w:marRight w:val="0"/>
          <w:marTop w:val="0"/>
          <w:marBottom w:val="101"/>
          <w:divBdr>
            <w:top w:val="none" w:sz="0" w:space="0" w:color="auto"/>
            <w:left w:val="none" w:sz="0" w:space="0" w:color="auto"/>
            <w:bottom w:val="none" w:sz="0" w:space="0" w:color="auto"/>
            <w:right w:val="none" w:sz="0" w:space="0" w:color="auto"/>
          </w:divBdr>
        </w:div>
        <w:div w:id="805926101">
          <w:marLeft w:val="1260"/>
          <w:marRight w:val="0"/>
          <w:marTop w:val="0"/>
          <w:marBottom w:val="101"/>
          <w:divBdr>
            <w:top w:val="none" w:sz="0" w:space="0" w:color="auto"/>
            <w:left w:val="none" w:sz="0" w:space="0" w:color="auto"/>
            <w:bottom w:val="none" w:sz="0" w:space="0" w:color="auto"/>
            <w:right w:val="none" w:sz="0" w:space="0" w:color="auto"/>
          </w:divBdr>
        </w:div>
        <w:div w:id="989097008">
          <w:marLeft w:val="1620"/>
          <w:marRight w:val="0"/>
          <w:marTop w:val="0"/>
          <w:marBottom w:val="101"/>
          <w:divBdr>
            <w:top w:val="none" w:sz="0" w:space="0" w:color="auto"/>
            <w:left w:val="none" w:sz="0" w:space="0" w:color="auto"/>
            <w:bottom w:val="none" w:sz="0" w:space="0" w:color="auto"/>
            <w:right w:val="none" w:sz="0" w:space="0" w:color="auto"/>
          </w:divBdr>
        </w:div>
        <w:div w:id="664355980">
          <w:marLeft w:val="1620"/>
          <w:marRight w:val="0"/>
          <w:marTop w:val="0"/>
          <w:marBottom w:val="101"/>
          <w:divBdr>
            <w:top w:val="none" w:sz="0" w:space="0" w:color="auto"/>
            <w:left w:val="none" w:sz="0" w:space="0" w:color="auto"/>
            <w:bottom w:val="none" w:sz="0" w:space="0" w:color="auto"/>
            <w:right w:val="none" w:sz="0" w:space="0" w:color="auto"/>
          </w:divBdr>
        </w:div>
        <w:div w:id="1497527581">
          <w:marLeft w:val="900"/>
          <w:marRight w:val="0"/>
          <w:marTop w:val="0"/>
          <w:marBottom w:val="101"/>
          <w:divBdr>
            <w:top w:val="none" w:sz="0" w:space="0" w:color="auto"/>
            <w:left w:val="none" w:sz="0" w:space="0" w:color="auto"/>
            <w:bottom w:val="none" w:sz="0" w:space="0" w:color="auto"/>
            <w:right w:val="none" w:sz="0" w:space="0" w:color="auto"/>
          </w:divBdr>
        </w:div>
        <w:div w:id="332144343">
          <w:marLeft w:val="900"/>
          <w:marRight w:val="0"/>
          <w:marTop w:val="0"/>
          <w:marBottom w:val="101"/>
          <w:divBdr>
            <w:top w:val="none" w:sz="0" w:space="0" w:color="auto"/>
            <w:left w:val="none" w:sz="0" w:space="0" w:color="auto"/>
            <w:bottom w:val="none" w:sz="0" w:space="0" w:color="auto"/>
            <w:right w:val="none" w:sz="0" w:space="0" w:color="auto"/>
          </w:divBdr>
        </w:div>
        <w:div w:id="511533203">
          <w:marLeft w:val="0"/>
          <w:marRight w:val="0"/>
          <w:marTop w:val="0"/>
          <w:marBottom w:val="101"/>
          <w:divBdr>
            <w:top w:val="none" w:sz="0" w:space="0" w:color="auto"/>
            <w:left w:val="none" w:sz="0" w:space="0" w:color="auto"/>
            <w:bottom w:val="none" w:sz="0" w:space="0" w:color="auto"/>
            <w:right w:val="none" w:sz="0" w:space="0" w:color="auto"/>
          </w:divBdr>
        </w:div>
        <w:div w:id="30305426">
          <w:marLeft w:val="907"/>
          <w:marRight w:val="0"/>
          <w:marTop w:val="0"/>
          <w:marBottom w:val="101"/>
          <w:divBdr>
            <w:top w:val="none" w:sz="0" w:space="0" w:color="auto"/>
            <w:left w:val="none" w:sz="0" w:space="0" w:color="auto"/>
            <w:bottom w:val="none" w:sz="0" w:space="0" w:color="auto"/>
            <w:right w:val="none" w:sz="0" w:space="0" w:color="auto"/>
          </w:divBdr>
        </w:div>
        <w:div w:id="1280454393">
          <w:marLeft w:val="907"/>
          <w:marRight w:val="0"/>
          <w:marTop w:val="0"/>
          <w:marBottom w:val="101"/>
          <w:divBdr>
            <w:top w:val="none" w:sz="0" w:space="0" w:color="auto"/>
            <w:left w:val="none" w:sz="0" w:space="0" w:color="auto"/>
            <w:bottom w:val="none" w:sz="0" w:space="0" w:color="auto"/>
            <w:right w:val="none" w:sz="0" w:space="0" w:color="auto"/>
          </w:divBdr>
        </w:div>
        <w:div w:id="448087624">
          <w:marLeft w:val="907"/>
          <w:marRight w:val="0"/>
          <w:marTop w:val="0"/>
          <w:marBottom w:val="101"/>
          <w:divBdr>
            <w:top w:val="none" w:sz="0" w:space="0" w:color="auto"/>
            <w:left w:val="none" w:sz="0" w:space="0" w:color="auto"/>
            <w:bottom w:val="none" w:sz="0" w:space="0" w:color="auto"/>
            <w:right w:val="none" w:sz="0" w:space="0" w:color="auto"/>
          </w:divBdr>
        </w:div>
        <w:div w:id="1266890202">
          <w:marLeft w:val="900"/>
          <w:marRight w:val="0"/>
          <w:marTop w:val="0"/>
          <w:marBottom w:val="101"/>
          <w:divBdr>
            <w:top w:val="none" w:sz="0" w:space="0" w:color="auto"/>
            <w:left w:val="none" w:sz="0" w:space="0" w:color="auto"/>
            <w:bottom w:val="none" w:sz="0" w:space="0" w:color="auto"/>
            <w:right w:val="none" w:sz="0" w:space="0" w:color="auto"/>
          </w:divBdr>
        </w:div>
        <w:div w:id="333725827">
          <w:marLeft w:val="900"/>
          <w:marRight w:val="0"/>
          <w:marTop w:val="0"/>
          <w:marBottom w:val="101"/>
          <w:divBdr>
            <w:top w:val="none" w:sz="0" w:space="0" w:color="auto"/>
            <w:left w:val="none" w:sz="0" w:space="0" w:color="auto"/>
            <w:bottom w:val="none" w:sz="0" w:space="0" w:color="auto"/>
            <w:right w:val="none" w:sz="0" w:space="0" w:color="auto"/>
          </w:divBdr>
        </w:div>
        <w:div w:id="1806465788">
          <w:marLeft w:val="900"/>
          <w:marRight w:val="0"/>
          <w:marTop w:val="0"/>
          <w:marBottom w:val="101"/>
          <w:divBdr>
            <w:top w:val="none" w:sz="0" w:space="0" w:color="auto"/>
            <w:left w:val="none" w:sz="0" w:space="0" w:color="auto"/>
            <w:bottom w:val="none" w:sz="0" w:space="0" w:color="auto"/>
            <w:right w:val="none" w:sz="0" w:space="0" w:color="auto"/>
          </w:divBdr>
        </w:div>
        <w:div w:id="1028870124">
          <w:marLeft w:val="900"/>
          <w:marRight w:val="0"/>
          <w:marTop w:val="0"/>
          <w:marBottom w:val="101"/>
          <w:divBdr>
            <w:top w:val="none" w:sz="0" w:space="0" w:color="auto"/>
            <w:left w:val="none" w:sz="0" w:space="0" w:color="auto"/>
            <w:bottom w:val="none" w:sz="0" w:space="0" w:color="auto"/>
            <w:right w:val="none" w:sz="0" w:space="0" w:color="auto"/>
          </w:divBdr>
        </w:div>
        <w:div w:id="942615025">
          <w:marLeft w:val="900"/>
          <w:marRight w:val="0"/>
          <w:marTop w:val="0"/>
          <w:marBottom w:val="101"/>
          <w:divBdr>
            <w:top w:val="none" w:sz="0" w:space="0" w:color="auto"/>
            <w:left w:val="none" w:sz="0" w:space="0" w:color="auto"/>
            <w:bottom w:val="none" w:sz="0" w:space="0" w:color="auto"/>
            <w:right w:val="none" w:sz="0" w:space="0" w:color="auto"/>
          </w:divBdr>
        </w:div>
        <w:div w:id="308294454">
          <w:marLeft w:val="1260"/>
          <w:marRight w:val="0"/>
          <w:marTop w:val="0"/>
          <w:marBottom w:val="101"/>
          <w:divBdr>
            <w:top w:val="none" w:sz="0" w:space="0" w:color="auto"/>
            <w:left w:val="none" w:sz="0" w:space="0" w:color="auto"/>
            <w:bottom w:val="none" w:sz="0" w:space="0" w:color="auto"/>
            <w:right w:val="none" w:sz="0" w:space="0" w:color="auto"/>
          </w:divBdr>
        </w:div>
        <w:div w:id="1161189959">
          <w:marLeft w:val="1260"/>
          <w:marRight w:val="0"/>
          <w:marTop w:val="0"/>
          <w:marBottom w:val="101"/>
          <w:divBdr>
            <w:top w:val="none" w:sz="0" w:space="0" w:color="auto"/>
            <w:left w:val="none" w:sz="0" w:space="0" w:color="auto"/>
            <w:bottom w:val="none" w:sz="0" w:space="0" w:color="auto"/>
            <w:right w:val="none" w:sz="0" w:space="0" w:color="auto"/>
          </w:divBdr>
        </w:div>
        <w:div w:id="1992558993">
          <w:marLeft w:val="1620"/>
          <w:marRight w:val="0"/>
          <w:marTop w:val="0"/>
          <w:marBottom w:val="101"/>
          <w:divBdr>
            <w:top w:val="none" w:sz="0" w:space="0" w:color="auto"/>
            <w:left w:val="none" w:sz="0" w:space="0" w:color="auto"/>
            <w:bottom w:val="none" w:sz="0" w:space="0" w:color="auto"/>
            <w:right w:val="none" w:sz="0" w:space="0" w:color="auto"/>
          </w:divBdr>
        </w:div>
        <w:div w:id="68964653">
          <w:marLeft w:val="1620"/>
          <w:marRight w:val="0"/>
          <w:marTop w:val="0"/>
          <w:marBottom w:val="101"/>
          <w:divBdr>
            <w:top w:val="none" w:sz="0" w:space="0" w:color="auto"/>
            <w:left w:val="none" w:sz="0" w:space="0" w:color="auto"/>
            <w:bottom w:val="none" w:sz="0" w:space="0" w:color="auto"/>
            <w:right w:val="none" w:sz="0" w:space="0" w:color="auto"/>
          </w:divBdr>
        </w:div>
        <w:div w:id="960962189">
          <w:marLeft w:val="900"/>
          <w:marRight w:val="0"/>
          <w:marTop w:val="0"/>
          <w:marBottom w:val="101"/>
          <w:divBdr>
            <w:top w:val="none" w:sz="0" w:space="0" w:color="auto"/>
            <w:left w:val="none" w:sz="0" w:space="0" w:color="auto"/>
            <w:bottom w:val="none" w:sz="0" w:space="0" w:color="auto"/>
            <w:right w:val="none" w:sz="0" w:space="0" w:color="auto"/>
          </w:divBdr>
        </w:div>
        <w:div w:id="130825434">
          <w:marLeft w:val="900"/>
          <w:marRight w:val="0"/>
          <w:marTop w:val="0"/>
          <w:marBottom w:val="101"/>
          <w:divBdr>
            <w:top w:val="none" w:sz="0" w:space="0" w:color="auto"/>
            <w:left w:val="none" w:sz="0" w:space="0" w:color="auto"/>
            <w:bottom w:val="none" w:sz="0" w:space="0" w:color="auto"/>
            <w:right w:val="none" w:sz="0" w:space="0" w:color="auto"/>
          </w:divBdr>
        </w:div>
        <w:div w:id="272707249">
          <w:marLeft w:val="900"/>
          <w:marRight w:val="0"/>
          <w:marTop w:val="0"/>
          <w:marBottom w:val="101"/>
          <w:divBdr>
            <w:top w:val="none" w:sz="0" w:space="0" w:color="auto"/>
            <w:left w:val="none" w:sz="0" w:space="0" w:color="auto"/>
            <w:bottom w:val="none" w:sz="0" w:space="0" w:color="auto"/>
            <w:right w:val="none" w:sz="0" w:space="0" w:color="auto"/>
          </w:divBdr>
        </w:div>
        <w:div w:id="1529371799">
          <w:marLeft w:val="900"/>
          <w:marRight w:val="0"/>
          <w:marTop w:val="0"/>
          <w:marBottom w:val="101"/>
          <w:divBdr>
            <w:top w:val="none" w:sz="0" w:space="0" w:color="auto"/>
            <w:left w:val="none" w:sz="0" w:space="0" w:color="auto"/>
            <w:bottom w:val="none" w:sz="0" w:space="0" w:color="auto"/>
            <w:right w:val="none" w:sz="0" w:space="0" w:color="auto"/>
          </w:divBdr>
        </w:div>
        <w:div w:id="929195977">
          <w:marLeft w:val="907"/>
          <w:marRight w:val="0"/>
          <w:marTop w:val="0"/>
          <w:marBottom w:val="101"/>
          <w:divBdr>
            <w:top w:val="none" w:sz="0" w:space="0" w:color="auto"/>
            <w:left w:val="none" w:sz="0" w:space="0" w:color="auto"/>
            <w:bottom w:val="none" w:sz="0" w:space="0" w:color="auto"/>
            <w:right w:val="none" w:sz="0" w:space="0" w:color="auto"/>
          </w:divBdr>
        </w:div>
        <w:div w:id="1061907861">
          <w:marLeft w:val="900"/>
          <w:marRight w:val="0"/>
          <w:marTop w:val="0"/>
          <w:marBottom w:val="101"/>
          <w:divBdr>
            <w:top w:val="none" w:sz="0" w:space="0" w:color="auto"/>
            <w:left w:val="none" w:sz="0" w:space="0" w:color="auto"/>
            <w:bottom w:val="none" w:sz="0" w:space="0" w:color="auto"/>
            <w:right w:val="none" w:sz="0" w:space="0" w:color="auto"/>
          </w:divBdr>
        </w:div>
        <w:div w:id="455099631">
          <w:marLeft w:val="907"/>
          <w:marRight w:val="0"/>
          <w:marTop w:val="0"/>
          <w:marBottom w:val="101"/>
          <w:divBdr>
            <w:top w:val="none" w:sz="0" w:space="0" w:color="auto"/>
            <w:left w:val="none" w:sz="0" w:space="0" w:color="auto"/>
            <w:bottom w:val="none" w:sz="0" w:space="0" w:color="auto"/>
            <w:right w:val="none" w:sz="0" w:space="0" w:color="auto"/>
          </w:divBdr>
        </w:div>
        <w:div w:id="759571017">
          <w:marLeft w:val="900"/>
          <w:marRight w:val="0"/>
          <w:marTop w:val="0"/>
          <w:marBottom w:val="101"/>
          <w:divBdr>
            <w:top w:val="none" w:sz="0" w:space="0" w:color="auto"/>
            <w:left w:val="none" w:sz="0" w:space="0" w:color="auto"/>
            <w:bottom w:val="none" w:sz="0" w:space="0" w:color="auto"/>
            <w:right w:val="none" w:sz="0" w:space="0" w:color="auto"/>
          </w:divBdr>
        </w:div>
        <w:div w:id="1625649697">
          <w:marLeft w:val="900"/>
          <w:marRight w:val="0"/>
          <w:marTop w:val="0"/>
          <w:marBottom w:val="101"/>
          <w:divBdr>
            <w:top w:val="none" w:sz="0" w:space="0" w:color="auto"/>
            <w:left w:val="none" w:sz="0" w:space="0" w:color="auto"/>
            <w:bottom w:val="none" w:sz="0" w:space="0" w:color="auto"/>
            <w:right w:val="none" w:sz="0" w:space="0" w:color="auto"/>
          </w:divBdr>
        </w:div>
        <w:div w:id="42558267">
          <w:marLeft w:val="900"/>
          <w:marRight w:val="0"/>
          <w:marTop w:val="0"/>
          <w:marBottom w:val="101"/>
          <w:divBdr>
            <w:top w:val="none" w:sz="0" w:space="0" w:color="auto"/>
            <w:left w:val="none" w:sz="0" w:space="0" w:color="auto"/>
            <w:bottom w:val="none" w:sz="0" w:space="0" w:color="auto"/>
            <w:right w:val="none" w:sz="0" w:space="0" w:color="auto"/>
          </w:divBdr>
        </w:div>
        <w:div w:id="1670448912">
          <w:marLeft w:val="900"/>
          <w:marRight w:val="0"/>
          <w:marTop w:val="0"/>
          <w:marBottom w:val="101"/>
          <w:divBdr>
            <w:top w:val="none" w:sz="0" w:space="0" w:color="auto"/>
            <w:left w:val="none" w:sz="0" w:space="0" w:color="auto"/>
            <w:bottom w:val="none" w:sz="0" w:space="0" w:color="auto"/>
            <w:right w:val="none" w:sz="0" w:space="0" w:color="auto"/>
          </w:divBdr>
        </w:div>
        <w:div w:id="2080057343">
          <w:marLeft w:val="900"/>
          <w:marRight w:val="0"/>
          <w:marTop w:val="0"/>
          <w:marBottom w:val="101"/>
          <w:divBdr>
            <w:top w:val="none" w:sz="0" w:space="0" w:color="auto"/>
            <w:left w:val="none" w:sz="0" w:space="0" w:color="auto"/>
            <w:bottom w:val="none" w:sz="0" w:space="0" w:color="auto"/>
            <w:right w:val="none" w:sz="0" w:space="0" w:color="auto"/>
          </w:divBdr>
        </w:div>
        <w:div w:id="6293834">
          <w:marLeft w:val="900"/>
          <w:marRight w:val="0"/>
          <w:marTop w:val="0"/>
          <w:marBottom w:val="101"/>
          <w:divBdr>
            <w:top w:val="none" w:sz="0" w:space="0" w:color="auto"/>
            <w:left w:val="none" w:sz="0" w:space="0" w:color="auto"/>
            <w:bottom w:val="none" w:sz="0" w:space="0" w:color="auto"/>
            <w:right w:val="none" w:sz="0" w:space="0" w:color="auto"/>
          </w:divBdr>
        </w:div>
        <w:div w:id="1842163410">
          <w:marLeft w:val="900"/>
          <w:marRight w:val="0"/>
          <w:marTop w:val="0"/>
          <w:marBottom w:val="101"/>
          <w:divBdr>
            <w:top w:val="none" w:sz="0" w:space="0" w:color="auto"/>
            <w:left w:val="none" w:sz="0" w:space="0" w:color="auto"/>
            <w:bottom w:val="none" w:sz="0" w:space="0" w:color="auto"/>
            <w:right w:val="none" w:sz="0" w:space="0" w:color="auto"/>
          </w:divBdr>
        </w:div>
        <w:div w:id="1110247301">
          <w:marLeft w:val="900"/>
          <w:marRight w:val="0"/>
          <w:marTop w:val="0"/>
          <w:marBottom w:val="101"/>
          <w:divBdr>
            <w:top w:val="none" w:sz="0" w:space="0" w:color="auto"/>
            <w:left w:val="none" w:sz="0" w:space="0" w:color="auto"/>
            <w:bottom w:val="none" w:sz="0" w:space="0" w:color="auto"/>
            <w:right w:val="none" w:sz="0" w:space="0" w:color="auto"/>
          </w:divBdr>
        </w:div>
        <w:div w:id="15624268">
          <w:marLeft w:val="900"/>
          <w:marRight w:val="0"/>
          <w:marTop w:val="0"/>
          <w:marBottom w:val="101"/>
          <w:divBdr>
            <w:top w:val="none" w:sz="0" w:space="0" w:color="auto"/>
            <w:left w:val="none" w:sz="0" w:space="0" w:color="auto"/>
            <w:bottom w:val="none" w:sz="0" w:space="0" w:color="auto"/>
            <w:right w:val="none" w:sz="0" w:space="0" w:color="auto"/>
          </w:divBdr>
        </w:div>
        <w:div w:id="1250122522">
          <w:marLeft w:val="900"/>
          <w:marRight w:val="0"/>
          <w:marTop w:val="0"/>
          <w:marBottom w:val="101"/>
          <w:divBdr>
            <w:top w:val="none" w:sz="0" w:space="0" w:color="auto"/>
            <w:left w:val="none" w:sz="0" w:space="0" w:color="auto"/>
            <w:bottom w:val="none" w:sz="0" w:space="0" w:color="auto"/>
            <w:right w:val="none" w:sz="0" w:space="0" w:color="auto"/>
          </w:divBdr>
        </w:div>
        <w:div w:id="489101987">
          <w:marLeft w:val="900"/>
          <w:marRight w:val="0"/>
          <w:marTop w:val="0"/>
          <w:marBottom w:val="101"/>
          <w:divBdr>
            <w:top w:val="none" w:sz="0" w:space="0" w:color="auto"/>
            <w:left w:val="none" w:sz="0" w:space="0" w:color="auto"/>
            <w:bottom w:val="none" w:sz="0" w:space="0" w:color="auto"/>
            <w:right w:val="none" w:sz="0" w:space="0" w:color="auto"/>
          </w:divBdr>
        </w:div>
        <w:div w:id="1755011593">
          <w:marLeft w:val="900"/>
          <w:marRight w:val="0"/>
          <w:marTop w:val="0"/>
          <w:marBottom w:val="101"/>
          <w:divBdr>
            <w:top w:val="none" w:sz="0" w:space="0" w:color="auto"/>
            <w:left w:val="none" w:sz="0" w:space="0" w:color="auto"/>
            <w:bottom w:val="none" w:sz="0" w:space="0" w:color="auto"/>
            <w:right w:val="none" w:sz="0" w:space="0" w:color="auto"/>
          </w:divBdr>
        </w:div>
        <w:div w:id="792746852">
          <w:marLeft w:val="1260"/>
          <w:marRight w:val="0"/>
          <w:marTop w:val="0"/>
          <w:marBottom w:val="101"/>
          <w:divBdr>
            <w:top w:val="none" w:sz="0" w:space="0" w:color="auto"/>
            <w:left w:val="none" w:sz="0" w:space="0" w:color="auto"/>
            <w:bottom w:val="none" w:sz="0" w:space="0" w:color="auto"/>
            <w:right w:val="none" w:sz="0" w:space="0" w:color="auto"/>
          </w:divBdr>
        </w:div>
        <w:div w:id="559437031">
          <w:marLeft w:val="1260"/>
          <w:marRight w:val="0"/>
          <w:marTop w:val="0"/>
          <w:marBottom w:val="101"/>
          <w:divBdr>
            <w:top w:val="none" w:sz="0" w:space="0" w:color="auto"/>
            <w:left w:val="none" w:sz="0" w:space="0" w:color="auto"/>
            <w:bottom w:val="none" w:sz="0" w:space="0" w:color="auto"/>
            <w:right w:val="none" w:sz="0" w:space="0" w:color="auto"/>
          </w:divBdr>
        </w:div>
        <w:div w:id="1322853608">
          <w:marLeft w:val="1260"/>
          <w:marRight w:val="0"/>
          <w:marTop w:val="0"/>
          <w:marBottom w:val="101"/>
          <w:divBdr>
            <w:top w:val="none" w:sz="0" w:space="0" w:color="auto"/>
            <w:left w:val="none" w:sz="0" w:space="0" w:color="auto"/>
            <w:bottom w:val="none" w:sz="0" w:space="0" w:color="auto"/>
            <w:right w:val="none" w:sz="0" w:space="0" w:color="auto"/>
          </w:divBdr>
        </w:div>
        <w:div w:id="1929538557">
          <w:marLeft w:val="1260"/>
          <w:marRight w:val="0"/>
          <w:marTop w:val="0"/>
          <w:marBottom w:val="101"/>
          <w:divBdr>
            <w:top w:val="none" w:sz="0" w:space="0" w:color="auto"/>
            <w:left w:val="none" w:sz="0" w:space="0" w:color="auto"/>
            <w:bottom w:val="none" w:sz="0" w:space="0" w:color="auto"/>
            <w:right w:val="none" w:sz="0" w:space="0" w:color="auto"/>
          </w:divBdr>
        </w:div>
        <w:div w:id="1832478962">
          <w:marLeft w:val="900"/>
          <w:marRight w:val="0"/>
          <w:marTop w:val="0"/>
          <w:marBottom w:val="101"/>
          <w:divBdr>
            <w:top w:val="none" w:sz="0" w:space="0" w:color="auto"/>
            <w:left w:val="none" w:sz="0" w:space="0" w:color="auto"/>
            <w:bottom w:val="none" w:sz="0" w:space="0" w:color="auto"/>
            <w:right w:val="none" w:sz="0" w:space="0" w:color="auto"/>
          </w:divBdr>
        </w:div>
        <w:div w:id="737481513">
          <w:marLeft w:val="900"/>
          <w:marRight w:val="0"/>
          <w:marTop w:val="0"/>
          <w:marBottom w:val="101"/>
          <w:divBdr>
            <w:top w:val="none" w:sz="0" w:space="0" w:color="auto"/>
            <w:left w:val="none" w:sz="0" w:space="0" w:color="auto"/>
            <w:bottom w:val="none" w:sz="0" w:space="0" w:color="auto"/>
            <w:right w:val="none" w:sz="0" w:space="0" w:color="auto"/>
          </w:divBdr>
        </w:div>
        <w:div w:id="657533391">
          <w:marLeft w:val="900"/>
          <w:marRight w:val="0"/>
          <w:marTop w:val="0"/>
          <w:marBottom w:val="90"/>
          <w:divBdr>
            <w:top w:val="none" w:sz="0" w:space="0" w:color="auto"/>
            <w:left w:val="none" w:sz="0" w:space="0" w:color="auto"/>
            <w:bottom w:val="none" w:sz="0" w:space="0" w:color="auto"/>
            <w:right w:val="none" w:sz="0" w:space="0" w:color="auto"/>
          </w:divBdr>
        </w:div>
        <w:div w:id="2130706708">
          <w:marLeft w:val="900"/>
          <w:marRight w:val="0"/>
          <w:marTop w:val="0"/>
          <w:marBottom w:val="90"/>
          <w:divBdr>
            <w:top w:val="none" w:sz="0" w:space="0" w:color="auto"/>
            <w:left w:val="none" w:sz="0" w:space="0" w:color="auto"/>
            <w:bottom w:val="none" w:sz="0" w:space="0" w:color="auto"/>
            <w:right w:val="none" w:sz="0" w:space="0" w:color="auto"/>
          </w:divBdr>
        </w:div>
        <w:div w:id="1641226481">
          <w:marLeft w:val="1260"/>
          <w:marRight w:val="0"/>
          <w:marTop w:val="0"/>
          <w:marBottom w:val="90"/>
          <w:divBdr>
            <w:top w:val="none" w:sz="0" w:space="0" w:color="auto"/>
            <w:left w:val="none" w:sz="0" w:space="0" w:color="auto"/>
            <w:bottom w:val="none" w:sz="0" w:space="0" w:color="auto"/>
            <w:right w:val="none" w:sz="0" w:space="0" w:color="auto"/>
          </w:divBdr>
        </w:div>
        <w:div w:id="1575772830">
          <w:marLeft w:val="1260"/>
          <w:marRight w:val="0"/>
          <w:marTop w:val="0"/>
          <w:marBottom w:val="90"/>
          <w:divBdr>
            <w:top w:val="none" w:sz="0" w:space="0" w:color="auto"/>
            <w:left w:val="none" w:sz="0" w:space="0" w:color="auto"/>
            <w:bottom w:val="none" w:sz="0" w:space="0" w:color="auto"/>
            <w:right w:val="none" w:sz="0" w:space="0" w:color="auto"/>
          </w:divBdr>
        </w:div>
        <w:div w:id="1622764511">
          <w:marLeft w:val="1260"/>
          <w:marRight w:val="0"/>
          <w:marTop w:val="0"/>
          <w:marBottom w:val="90"/>
          <w:divBdr>
            <w:top w:val="none" w:sz="0" w:space="0" w:color="auto"/>
            <w:left w:val="none" w:sz="0" w:space="0" w:color="auto"/>
            <w:bottom w:val="none" w:sz="0" w:space="0" w:color="auto"/>
            <w:right w:val="none" w:sz="0" w:space="0" w:color="auto"/>
          </w:divBdr>
        </w:div>
        <w:div w:id="1937249794">
          <w:marLeft w:val="900"/>
          <w:marRight w:val="0"/>
          <w:marTop w:val="0"/>
          <w:marBottom w:val="90"/>
          <w:divBdr>
            <w:top w:val="none" w:sz="0" w:space="0" w:color="auto"/>
            <w:left w:val="none" w:sz="0" w:space="0" w:color="auto"/>
            <w:bottom w:val="none" w:sz="0" w:space="0" w:color="auto"/>
            <w:right w:val="none" w:sz="0" w:space="0" w:color="auto"/>
          </w:divBdr>
        </w:div>
        <w:div w:id="1534928454">
          <w:marLeft w:val="900"/>
          <w:marRight w:val="0"/>
          <w:marTop w:val="0"/>
          <w:marBottom w:val="90"/>
          <w:divBdr>
            <w:top w:val="none" w:sz="0" w:space="0" w:color="auto"/>
            <w:left w:val="none" w:sz="0" w:space="0" w:color="auto"/>
            <w:bottom w:val="none" w:sz="0" w:space="0" w:color="auto"/>
            <w:right w:val="none" w:sz="0" w:space="0" w:color="auto"/>
          </w:divBdr>
        </w:div>
        <w:div w:id="1377313243">
          <w:marLeft w:val="900"/>
          <w:marRight w:val="0"/>
          <w:marTop w:val="0"/>
          <w:marBottom w:val="90"/>
          <w:divBdr>
            <w:top w:val="none" w:sz="0" w:space="0" w:color="auto"/>
            <w:left w:val="none" w:sz="0" w:space="0" w:color="auto"/>
            <w:bottom w:val="none" w:sz="0" w:space="0" w:color="auto"/>
            <w:right w:val="none" w:sz="0" w:space="0" w:color="auto"/>
          </w:divBdr>
        </w:div>
        <w:div w:id="1906182782">
          <w:marLeft w:val="900"/>
          <w:marRight w:val="0"/>
          <w:marTop w:val="0"/>
          <w:marBottom w:val="90"/>
          <w:divBdr>
            <w:top w:val="none" w:sz="0" w:space="0" w:color="auto"/>
            <w:left w:val="none" w:sz="0" w:space="0" w:color="auto"/>
            <w:bottom w:val="none" w:sz="0" w:space="0" w:color="auto"/>
            <w:right w:val="none" w:sz="0" w:space="0" w:color="auto"/>
          </w:divBdr>
        </w:div>
        <w:div w:id="475923918">
          <w:marLeft w:val="1260"/>
          <w:marRight w:val="0"/>
          <w:marTop w:val="0"/>
          <w:marBottom w:val="90"/>
          <w:divBdr>
            <w:top w:val="none" w:sz="0" w:space="0" w:color="auto"/>
            <w:left w:val="none" w:sz="0" w:space="0" w:color="auto"/>
            <w:bottom w:val="none" w:sz="0" w:space="0" w:color="auto"/>
            <w:right w:val="none" w:sz="0" w:space="0" w:color="auto"/>
          </w:divBdr>
        </w:div>
        <w:div w:id="1215850959">
          <w:marLeft w:val="1620"/>
          <w:marRight w:val="0"/>
          <w:marTop w:val="0"/>
          <w:marBottom w:val="90"/>
          <w:divBdr>
            <w:top w:val="none" w:sz="0" w:space="0" w:color="auto"/>
            <w:left w:val="none" w:sz="0" w:space="0" w:color="auto"/>
            <w:bottom w:val="none" w:sz="0" w:space="0" w:color="auto"/>
            <w:right w:val="none" w:sz="0" w:space="0" w:color="auto"/>
          </w:divBdr>
        </w:div>
        <w:div w:id="1362583790">
          <w:marLeft w:val="1620"/>
          <w:marRight w:val="0"/>
          <w:marTop w:val="0"/>
          <w:marBottom w:val="90"/>
          <w:divBdr>
            <w:top w:val="none" w:sz="0" w:space="0" w:color="auto"/>
            <w:left w:val="none" w:sz="0" w:space="0" w:color="auto"/>
            <w:bottom w:val="none" w:sz="0" w:space="0" w:color="auto"/>
            <w:right w:val="none" w:sz="0" w:space="0" w:color="auto"/>
          </w:divBdr>
        </w:div>
        <w:div w:id="1066297015">
          <w:marLeft w:val="1620"/>
          <w:marRight w:val="0"/>
          <w:marTop w:val="0"/>
          <w:marBottom w:val="90"/>
          <w:divBdr>
            <w:top w:val="none" w:sz="0" w:space="0" w:color="auto"/>
            <w:left w:val="none" w:sz="0" w:space="0" w:color="auto"/>
            <w:bottom w:val="none" w:sz="0" w:space="0" w:color="auto"/>
            <w:right w:val="none" w:sz="0" w:space="0" w:color="auto"/>
          </w:divBdr>
        </w:div>
        <w:div w:id="788401167">
          <w:marLeft w:val="1620"/>
          <w:marRight w:val="0"/>
          <w:marTop w:val="0"/>
          <w:marBottom w:val="90"/>
          <w:divBdr>
            <w:top w:val="none" w:sz="0" w:space="0" w:color="auto"/>
            <w:left w:val="none" w:sz="0" w:space="0" w:color="auto"/>
            <w:bottom w:val="none" w:sz="0" w:space="0" w:color="auto"/>
            <w:right w:val="none" w:sz="0" w:space="0" w:color="auto"/>
          </w:divBdr>
        </w:div>
        <w:div w:id="369113132">
          <w:marLeft w:val="1620"/>
          <w:marRight w:val="0"/>
          <w:marTop w:val="0"/>
          <w:marBottom w:val="90"/>
          <w:divBdr>
            <w:top w:val="none" w:sz="0" w:space="0" w:color="auto"/>
            <w:left w:val="none" w:sz="0" w:space="0" w:color="auto"/>
            <w:bottom w:val="none" w:sz="0" w:space="0" w:color="auto"/>
            <w:right w:val="none" w:sz="0" w:space="0" w:color="auto"/>
          </w:divBdr>
        </w:div>
        <w:div w:id="20211313">
          <w:marLeft w:val="1260"/>
          <w:marRight w:val="0"/>
          <w:marTop w:val="0"/>
          <w:marBottom w:val="90"/>
          <w:divBdr>
            <w:top w:val="none" w:sz="0" w:space="0" w:color="auto"/>
            <w:left w:val="none" w:sz="0" w:space="0" w:color="auto"/>
            <w:bottom w:val="none" w:sz="0" w:space="0" w:color="auto"/>
            <w:right w:val="none" w:sz="0" w:space="0" w:color="auto"/>
          </w:divBdr>
        </w:div>
        <w:div w:id="626933944">
          <w:marLeft w:val="1620"/>
          <w:marRight w:val="0"/>
          <w:marTop w:val="0"/>
          <w:marBottom w:val="90"/>
          <w:divBdr>
            <w:top w:val="none" w:sz="0" w:space="0" w:color="auto"/>
            <w:left w:val="none" w:sz="0" w:space="0" w:color="auto"/>
            <w:bottom w:val="none" w:sz="0" w:space="0" w:color="auto"/>
            <w:right w:val="none" w:sz="0" w:space="0" w:color="auto"/>
          </w:divBdr>
        </w:div>
        <w:div w:id="1556969061">
          <w:marLeft w:val="1620"/>
          <w:marRight w:val="0"/>
          <w:marTop w:val="0"/>
          <w:marBottom w:val="90"/>
          <w:divBdr>
            <w:top w:val="none" w:sz="0" w:space="0" w:color="auto"/>
            <w:left w:val="none" w:sz="0" w:space="0" w:color="auto"/>
            <w:bottom w:val="none" w:sz="0" w:space="0" w:color="auto"/>
            <w:right w:val="none" w:sz="0" w:space="0" w:color="auto"/>
          </w:divBdr>
        </w:div>
        <w:div w:id="449128870">
          <w:marLeft w:val="1620"/>
          <w:marRight w:val="0"/>
          <w:marTop w:val="0"/>
          <w:marBottom w:val="90"/>
          <w:divBdr>
            <w:top w:val="none" w:sz="0" w:space="0" w:color="auto"/>
            <w:left w:val="none" w:sz="0" w:space="0" w:color="auto"/>
            <w:bottom w:val="none" w:sz="0" w:space="0" w:color="auto"/>
            <w:right w:val="none" w:sz="0" w:space="0" w:color="auto"/>
          </w:divBdr>
        </w:div>
        <w:div w:id="1600455035">
          <w:marLeft w:val="1620"/>
          <w:marRight w:val="0"/>
          <w:marTop w:val="0"/>
          <w:marBottom w:val="90"/>
          <w:divBdr>
            <w:top w:val="none" w:sz="0" w:space="0" w:color="auto"/>
            <w:left w:val="none" w:sz="0" w:space="0" w:color="auto"/>
            <w:bottom w:val="none" w:sz="0" w:space="0" w:color="auto"/>
            <w:right w:val="none" w:sz="0" w:space="0" w:color="auto"/>
          </w:divBdr>
        </w:div>
        <w:div w:id="1350372006">
          <w:marLeft w:val="1620"/>
          <w:marRight w:val="0"/>
          <w:marTop w:val="0"/>
          <w:marBottom w:val="90"/>
          <w:divBdr>
            <w:top w:val="none" w:sz="0" w:space="0" w:color="auto"/>
            <w:left w:val="none" w:sz="0" w:space="0" w:color="auto"/>
            <w:bottom w:val="none" w:sz="0" w:space="0" w:color="auto"/>
            <w:right w:val="none" w:sz="0" w:space="0" w:color="auto"/>
          </w:divBdr>
        </w:div>
        <w:div w:id="108427902">
          <w:marLeft w:val="900"/>
          <w:marRight w:val="0"/>
          <w:marTop w:val="0"/>
          <w:marBottom w:val="90"/>
          <w:divBdr>
            <w:top w:val="none" w:sz="0" w:space="0" w:color="auto"/>
            <w:left w:val="none" w:sz="0" w:space="0" w:color="auto"/>
            <w:bottom w:val="none" w:sz="0" w:space="0" w:color="auto"/>
            <w:right w:val="none" w:sz="0" w:space="0" w:color="auto"/>
          </w:divBdr>
        </w:div>
        <w:div w:id="1358195238">
          <w:marLeft w:val="0"/>
          <w:marRight w:val="0"/>
          <w:marTop w:val="0"/>
          <w:marBottom w:val="101"/>
          <w:divBdr>
            <w:top w:val="none" w:sz="0" w:space="0" w:color="auto"/>
            <w:left w:val="none" w:sz="0" w:space="0" w:color="auto"/>
            <w:bottom w:val="none" w:sz="0" w:space="0" w:color="auto"/>
            <w:right w:val="none" w:sz="0" w:space="0" w:color="auto"/>
          </w:divBdr>
        </w:div>
        <w:div w:id="1390880307">
          <w:marLeft w:val="0"/>
          <w:marRight w:val="0"/>
          <w:marTop w:val="0"/>
          <w:marBottom w:val="101"/>
          <w:divBdr>
            <w:top w:val="none" w:sz="0" w:space="0" w:color="auto"/>
            <w:left w:val="none" w:sz="0" w:space="0" w:color="auto"/>
            <w:bottom w:val="none" w:sz="0" w:space="0" w:color="auto"/>
            <w:right w:val="none" w:sz="0" w:space="0" w:color="auto"/>
          </w:divBdr>
        </w:div>
        <w:div w:id="402607851">
          <w:marLeft w:val="0"/>
          <w:marRight w:val="0"/>
          <w:marTop w:val="0"/>
          <w:marBottom w:val="101"/>
          <w:divBdr>
            <w:top w:val="none" w:sz="0" w:space="0" w:color="auto"/>
            <w:left w:val="none" w:sz="0" w:space="0" w:color="auto"/>
            <w:bottom w:val="single" w:sz="6" w:space="0" w:color="000000"/>
            <w:right w:val="none" w:sz="0" w:space="0" w:color="auto"/>
          </w:divBdr>
        </w:div>
        <w:div w:id="657733656">
          <w:marLeft w:val="900"/>
          <w:marRight w:val="0"/>
          <w:marTop w:val="0"/>
          <w:marBottom w:val="101"/>
          <w:divBdr>
            <w:top w:val="none" w:sz="0" w:space="0" w:color="auto"/>
            <w:left w:val="none" w:sz="0" w:space="0" w:color="auto"/>
            <w:bottom w:val="none" w:sz="0" w:space="0" w:color="auto"/>
            <w:right w:val="none" w:sz="0" w:space="0" w:color="auto"/>
          </w:divBdr>
        </w:div>
        <w:div w:id="349914579">
          <w:marLeft w:val="900"/>
          <w:marRight w:val="0"/>
          <w:marTop w:val="0"/>
          <w:marBottom w:val="101"/>
          <w:divBdr>
            <w:top w:val="none" w:sz="0" w:space="0" w:color="auto"/>
            <w:left w:val="none" w:sz="0" w:space="0" w:color="auto"/>
            <w:bottom w:val="none" w:sz="0" w:space="0" w:color="auto"/>
            <w:right w:val="none" w:sz="0" w:space="0" w:color="auto"/>
          </w:divBdr>
        </w:div>
        <w:div w:id="1007637062">
          <w:marLeft w:val="900"/>
          <w:marRight w:val="0"/>
          <w:marTop w:val="0"/>
          <w:marBottom w:val="101"/>
          <w:divBdr>
            <w:top w:val="none" w:sz="0" w:space="0" w:color="auto"/>
            <w:left w:val="none" w:sz="0" w:space="0" w:color="auto"/>
            <w:bottom w:val="none" w:sz="0" w:space="0" w:color="auto"/>
            <w:right w:val="none" w:sz="0" w:space="0" w:color="auto"/>
          </w:divBdr>
        </w:div>
        <w:div w:id="1507357900">
          <w:marLeft w:val="900"/>
          <w:marRight w:val="0"/>
          <w:marTop w:val="0"/>
          <w:marBottom w:val="101"/>
          <w:divBdr>
            <w:top w:val="none" w:sz="0" w:space="0" w:color="auto"/>
            <w:left w:val="none" w:sz="0" w:space="0" w:color="auto"/>
            <w:bottom w:val="none" w:sz="0" w:space="0" w:color="auto"/>
            <w:right w:val="none" w:sz="0" w:space="0" w:color="auto"/>
          </w:divBdr>
        </w:div>
        <w:div w:id="1484739815">
          <w:marLeft w:val="900"/>
          <w:marRight w:val="0"/>
          <w:marTop w:val="0"/>
          <w:marBottom w:val="101"/>
          <w:divBdr>
            <w:top w:val="none" w:sz="0" w:space="0" w:color="auto"/>
            <w:left w:val="none" w:sz="0" w:space="0" w:color="auto"/>
            <w:bottom w:val="none" w:sz="0" w:space="0" w:color="auto"/>
            <w:right w:val="none" w:sz="0" w:space="0" w:color="auto"/>
          </w:divBdr>
        </w:div>
        <w:div w:id="1326591820">
          <w:marLeft w:val="900"/>
          <w:marRight w:val="0"/>
          <w:marTop w:val="0"/>
          <w:marBottom w:val="101"/>
          <w:divBdr>
            <w:top w:val="none" w:sz="0" w:space="0" w:color="auto"/>
            <w:left w:val="none" w:sz="0" w:space="0" w:color="auto"/>
            <w:bottom w:val="none" w:sz="0" w:space="0" w:color="auto"/>
            <w:right w:val="none" w:sz="0" w:space="0" w:color="auto"/>
          </w:divBdr>
        </w:div>
        <w:div w:id="215286577">
          <w:marLeft w:val="900"/>
          <w:marRight w:val="0"/>
          <w:marTop w:val="0"/>
          <w:marBottom w:val="101"/>
          <w:divBdr>
            <w:top w:val="none" w:sz="0" w:space="0" w:color="auto"/>
            <w:left w:val="none" w:sz="0" w:space="0" w:color="auto"/>
            <w:bottom w:val="none" w:sz="0" w:space="0" w:color="auto"/>
            <w:right w:val="none" w:sz="0" w:space="0" w:color="auto"/>
          </w:divBdr>
        </w:div>
        <w:div w:id="64958126">
          <w:marLeft w:val="900"/>
          <w:marRight w:val="0"/>
          <w:marTop w:val="0"/>
          <w:marBottom w:val="101"/>
          <w:divBdr>
            <w:top w:val="none" w:sz="0" w:space="0" w:color="auto"/>
            <w:left w:val="none" w:sz="0" w:space="0" w:color="auto"/>
            <w:bottom w:val="none" w:sz="0" w:space="0" w:color="auto"/>
            <w:right w:val="none" w:sz="0" w:space="0" w:color="auto"/>
          </w:divBdr>
        </w:div>
        <w:div w:id="1324352016">
          <w:marLeft w:val="900"/>
          <w:marRight w:val="0"/>
          <w:marTop w:val="0"/>
          <w:marBottom w:val="101"/>
          <w:divBdr>
            <w:top w:val="none" w:sz="0" w:space="0" w:color="auto"/>
            <w:left w:val="none" w:sz="0" w:space="0" w:color="auto"/>
            <w:bottom w:val="none" w:sz="0" w:space="0" w:color="auto"/>
            <w:right w:val="none" w:sz="0" w:space="0" w:color="auto"/>
          </w:divBdr>
        </w:div>
        <w:div w:id="858927634">
          <w:marLeft w:val="900"/>
          <w:marRight w:val="0"/>
          <w:marTop w:val="0"/>
          <w:marBottom w:val="101"/>
          <w:divBdr>
            <w:top w:val="none" w:sz="0" w:space="0" w:color="auto"/>
            <w:left w:val="none" w:sz="0" w:space="0" w:color="auto"/>
            <w:bottom w:val="none" w:sz="0" w:space="0" w:color="auto"/>
            <w:right w:val="none" w:sz="0" w:space="0" w:color="auto"/>
          </w:divBdr>
        </w:div>
        <w:div w:id="1886214708">
          <w:marLeft w:val="900"/>
          <w:marRight w:val="0"/>
          <w:marTop w:val="0"/>
          <w:marBottom w:val="101"/>
          <w:divBdr>
            <w:top w:val="none" w:sz="0" w:space="0" w:color="auto"/>
            <w:left w:val="none" w:sz="0" w:space="0" w:color="auto"/>
            <w:bottom w:val="none" w:sz="0" w:space="0" w:color="auto"/>
            <w:right w:val="none" w:sz="0" w:space="0" w:color="auto"/>
          </w:divBdr>
        </w:div>
        <w:div w:id="239995860">
          <w:marLeft w:val="900"/>
          <w:marRight w:val="0"/>
          <w:marTop w:val="0"/>
          <w:marBottom w:val="101"/>
          <w:divBdr>
            <w:top w:val="none" w:sz="0" w:space="0" w:color="auto"/>
            <w:left w:val="none" w:sz="0" w:space="0" w:color="auto"/>
            <w:bottom w:val="none" w:sz="0" w:space="0" w:color="auto"/>
            <w:right w:val="none" w:sz="0" w:space="0" w:color="auto"/>
          </w:divBdr>
        </w:div>
        <w:div w:id="1423642033">
          <w:marLeft w:val="1260"/>
          <w:marRight w:val="0"/>
          <w:marTop w:val="0"/>
          <w:marBottom w:val="101"/>
          <w:divBdr>
            <w:top w:val="none" w:sz="0" w:space="0" w:color="auto"/>
            <w:left w:val="none" w:sz="0" w:space="0" w:color="auto"/>
            <w:bottom w:val="none" w:sz="0" w:space="0" w:color="auto"/>
            <w:right w:val="none" w:sz="0" w:space="0" w:color="auto"/>
          </w:divBdr>
        </w:div>
        <w:div w:id="1391077232">
          <w:marLeft w:val="1260"/>
          <w:marRight w:val="0"/>
          <w:marTop w:val="0"/>
          <w:marBottom w:val="101"/>
          <w:divBdr>
            <w:top w:val="none" w:sz="0" w:space="0" w:color="auto"/>
            <w:left w:val="none" w:sz="0" w:space="0" w:color="auto"/>
            <w:bottom w:val="none" w:sz="0" w:space="0" w:color="auto"/>
            <w:right w:val="none" w:sz="0" w:space="0" w:color="auto"/>
          </w:divBdr>
        </w:div>
        <w:div w:id="367150263">
          <w:marLeft w:val="1620"/>
          <w:marRight w:val="0"/>
          <w:marTop w:val="0"/>
          <w:marBottom w:val="101"/>
          <w:divBdr>
            <w:top w:val="none" w:sz="0" w:space="0" w:color="auto"/>
            <w:left w:val="none" w:sz="0" w:space="0" w:color="auto"/>
            <w:bottom w:val="none" w:sz="0" w:space="0" w:color="auto"/>
            <w:right w:val="none" w:sz="0" w:space="0" w:color="auto"/>
          </w:divBdr>
        </w:div>
        <w:div w:id="1064717860">
          <w:marLeft w:val="1620"/>
          <w:marRight w:val="0"/>
          <w:marTop w:val="0"/>
          <w:marBottom w:val="101"/>
          <w:divBdr>
            <w:top w:val="none" w:sz="0" w:space="0" w:color="auto"/>
            <w:left w:val="none" w:sz="0" w:space="0" w:color="auto"/>
            <w:bottom w:val="none" w:sz="0" w:space="0" w:color="auto"/>
            <w:right w:val="none" w:sz="0" w:space="0" w:color="auto"/>
          </w:divBdr>
        </w:div>
        <w:div w:id="1294944104">
          <w:marLeft w:val="1620"/>
          <w:marRight w:val="0"/>
          <w:marTop w:val="0"/>
          <w:marBottom w:val="101"/>
          <w:divBdr>
            <w:top w:val="none" w:sz="0" w:space="0" w:color="auto"/>
            <w:left w:val="none" w:sz="0" w:space="0" w:color="auto"/>
            <w:bottom w:val="none" w:sz="0" w:space="0" w:color="auto"/>
            <w:right w:val="none" w:sz="0" w:space="0" w:color="auto"/>
          </w:divBdr>
        </w:div>
        <w:div w:id="2128888080">
          <w:marLeft w:val="1260"/>
          <w:marRight w:val="0"/>
          <w:marTop w:val="0"/>
          <w:marBottom w:val="101"/>
          <w:divBdr>
            <w:top w:val="none" w:sz="0" w:space="0" w:color="auto"/>
            <w:left w:val="none" w:sz="0" w:space="0" w:color="auto"/>
            <w:bottom w:val="none" w:sz="0" w:space="0" w:color="auto"/>
            <w:right w:val="none" w:sz="0" w:space="0" w:color="auto"/>
          </w:divBdr>
        </w:div>
        <w:div w:id="672029922">
          <w:marLeft w:val="900"/>
          <w:marRight w:val="0"/>
          <w:marTop w:val="0"/>
          <w:marBottom w:val="101"/>
          <w:divBdr>
            <w:top w:val="none" w:sz="0" w:space="0" w:color="auto"/>
            <w:left w:val="none" w:sz="0" w:space="0" w:color="auto"/>
            <w:bottom w:val="none" w:sz="0" w:space="0" w:color="auto"/>
            <w:right w:val="none" w:sz="0" w:space="0" w:color="auto"/>
          </w:divBdr>
        </w:div>
        <w:div w:id="1708483845">
          <w:marLeft w:val="900"/>
          <w:marRight w:val="0"/>
          <w:marTop w:val="0"/>
          <w:marBottom w:val="101"/>
          <w:divBdr>
            <w:top w:val="none" w:sz="0" w:space="0" w:color="auto"/>
            <w:left w:val="none" w:sz="0" w:space="0" w:color="auto"/>
            <w:bottom w:val="none" w:sz="0" w:space="0" w:color="auto"/>
            <w:right w:val="none" w:sz="0" w:space="0" w:color="auto"/>
          </w:divBdr>
        </w:div>
        <w:div w:id="191697613">
          <w:marLeft w:val="900"/>
          <w:marRight w:val="0"/>
          <w:marTop w:val="0"/>
          <w:marBottom w:val="101"/>
          <w:divBdr>
            <w:top w:val="none" w:sz="0" w:space="0" w:color="auto"/>
            <w:left w:val="none" w:sz="0" w:space="0" w:color="auto"/>
            <w:bottom w:val="none" w:sz="0" w:space="0" w:color="auto"/>
            <w:right w:val="none" w:sz="0" w:space="0" w:color="auto"/>
          </w:divBdr>
        </w:div>
        <w:div w:id="1291519026">
          <w:marLeft w:val="900"/>
          <w:marRight w:val="0"/>
          <w:marTop w:val="0"/>
          <w:marBottom w:val="101"/>
          <w:divBdr>
            <w:top w:val="none" w:sz="0" w:space="0" w:color="auto"/>
            <w:left w:val="none" w:sz="0" w:space="0" w:color="auto"/>
            <w:bottom w:val="none" w:sz="0" w:space="0" w:color="auto"/>
            <w:right w:val="none" w:sz="0" w:space="0" w:color="auto"/>
          </w:divBdr>
        </w:div>
        <w:div w:id="1915620756">
          <w:marLeft w:val="900"/>
          <w:marRight w:val="0"/>
          <w:marTop w:val="0"/>
          <w:marBottom w:val="101"/>
          <w:divBdr>
            <w:top w:val="none" w:sz="0" w:space="0" w:color="auto"/>
            <w:left w:val="none" w:sz="0" w:space="0" w:color="auto"/>
            <w:bottom w:val="none" w:sz="0" w:space="0" w:color="auto"/>
            <w:right w:val="none" w:sz="0" w:space="0" w:color="auto"/>
          </w:divBdr>
        </w:div>
        <w:div w:id="1930190446">
          <w:marLeft w:val="900"/>
          <w:marRight w:val="0"/>
          <w:marTop w:val="0"/>
          <w:marBottom w:val="101"/>
          <w:divBdr>
            <w:top w:val="none" w:sz="0" w:space="0" w:color="auto"/>
            <w:left w:val="none" w:sz="0" w:space="0" w:color="auto"/>
            <w:bottom w:val="none" w:sz="0" w:space="0" w:color="auto"/>
            <w:right w:val="none" w:sz="0" w:space="0" w:color="auto"/>
          </w:divBdr>
        </w:div>
        <w:div w:id="985400993">
          <w:marLeft w:val="1350"/>
          <w:marRight w:val="0"/>
          <w:marTop w:val="0"/>
          <w:marBottom w:val="101"/>
          <w:divBdr>
            <w:top w:val="none" w:sz="0" w:space="0" w:color="auto"/>
            <w:left w:val="none" w:sz="0" w:space="0" w:color="auto"/>
            <w:bottom w:val="none" w:sz="0" w:space="0" w:color="auto"/>
            <w:right w:val="none" w:sz="0" w:space="0" w:color="auto"/>
          </w:divBdr>
        </w:div>
        <w:div w:id="1661805352">
          <w:marLeft w:val="1350"/>
          <w:marRight w:val="0"/>
          <w:marTop w:val="0"/>
          <w:marBottom w:val="101"/>
          <w:divBdr>
            <w:top w:val="none" w:sz="0" w:space="0" w:color="auto"/>
            <w:left w:val="none" w:sz="0" w:space="0" w:color="auto"/>
            <w:bottom w:val="none" w:sz="0" w:space="0" w:color="auto"/>
            <w:right w:val="none" w:sz="0" w:space="0" w:color="auto"/>
          </w:divBdr>
        </w:div>
        <w:div w:id="1270896135">
          <w:marLeft w:val="1260"/>
          <w:marRight w:val="0"/>
          <w:marTop w:val="0"/>
          <w:marBottom w:val="101"/>
          <w:divBdr>
            <w:top w:val="none" w:sz="0" w:space="0" w:color="auto"/>
            <w:left w:val="none" w:sz="0" w:space="0" w:color="auto"/>
            <w:bottom w:val="none" w:sz="0" w:space="0" w:color="auto"/>
            <w:right w:val="none" w:sz="0" w:space="0" w:color="auto"/>
          </w:divBdr>
        </w:div>
        <w:div w:id="1530291622">
          <w:marLeft w:val="900"/>
          <w:marRight w:val="0"/>
          <w:marTop w:val="0"/>
          <w:marBottom w:val="101"/>
          <w:divBdr>
            <w:top w:val="none" w:sz="0" w:space="0" w:color="auto"/>
            <w:left w:val="none" w:sz="0" w:space="0" w:color="auto"/>
            <w:bottom w:val="none" w:sz="0" w:space="0" w:color="auto"/>
            <w:right w:val="none" w:sz="0" w:space="0" w:color="auto"/>
          </w:divBdr>
        </w:div>
        <w:div w:id="705326570">
          <w:marLeft w:val="900"/>
          <w:marRight w:val="0"/>
          <w:marTop w:val="0"/>
          <w:marBottom w:val="101"/>
          <w:divBdr>
            <w:top w:val="none" w:sz="0" w:space="0" w:color="auto"/>
            <w:left w:val="none" w:sz="0" w:space="0" w:color="auto"/>
            <w:bottom w:val="none" w:sz="0" w:space="0" w:color="auto"/>
            <w:right w:val="none" w:sz="0" w:space="0" w:color="auto"/>
          </w:divBdr>
        </w:div>
        <w:div w:id="1385641569">
          <w:marLeft w:val="1260"/>
          <w:marRight w:val="0"/>
          <w:marTop w:val="0"/>
          <w:marBottom w:val="101"/>
          <w:divBdr>
            <w:top w:val="none" w:sz="0" w:space="0" w:color="auto"/>
            <w:left w:val="none" w:sz="0" w:space="0" w:color="auto"/>
            <w:bottom w:val="none" w:sz="0" w:space="0" w:color="auto"/>
            <w:right w:val="none" w:sz="0" w:space="0" w:color="auto"/>
          </w:divBdr>
        </w:div>
        <w:div w:id="1327366919">
          <w:marLeft w:val="1260"/>
          <w:marRight w:val="0"/>
          <w:marTop w:val="0"/>
          <w:marBottom w:val="101"/>
          <w:divBdr>
            <w:top w:val="none" w:sz="0" w:space="0" w:color="auto"/>
            <w:left w:val="none" w:sz="0" w:space="0" w:color="auto"/>
            <w:bottom w:val="none" w:sz="0" w:space="0" w:color="auto"/>
            <w:right w:val="none" w:sz="0" w:space="0" w:color="auto"/>
          </w:divBdr>
        </w:div>
        <w:div w:id="976882041">
          <w:marLeft w:val="1260"/>
          <w:marRight w:val="0"/>
          <w:marTop w:val="0"/>
          <w:marBottom w:val="101"/>
          <w:divBdr>
            <w:top w:val="none" w:sz="0" w:space="0" w:color="auto"/>
            <w:left w:val="none" w:sz="0" w:space="0" w:color="auto"/>
            <w:bottom w:val="none" w:sz="0" w:space="0" w:color="auto"/>
            <w:right w:val="none" w:sz="0" w:space="0" w:color="auto"/>
          </w:divBdr>
        </w:div>
        <w:div w:id="1665821">
          <w:marLeft w:val="900"/>
          <w:marRight w:val="0"/>
          <w:marTop w:val="0"/>
          <w:marBottom w:val="101"/>
          <w:divBdr>
            <w:top w:val="none" w:sz="0" w:space="0" w:color="auto"/>
            <w:left w:val="none" w:sz="0" w:space="0" w:color="auto"/>
            <w:bottom w:val="none" w:sz="0" w:space="0" w:color="auto"/>
            <w:right w:val="none" w:sz="0" w:space="0" w:color="auto"/>
          </w:divBdr>
        </w:div>
        <w:div w:id="1295797846">
          <w:marLeft w:val="900"/>
          <w:marRight w:val="0"/>
          <w:marTop w:val="0"/>
          <w:marBottom w:val="101"/>
          <w:divBdr>
            <w:top w:val="none" w:sz="0" w:space="0" w:color="auto"/>
            <w:left w:val="none" w:sz="0" w:space="0" w:color="auto"/>
            <w:bottom w:val="none" w:sz="0" w:space="0" w:color="auto"/>
            <w:right w:val="none" w:sz="0" w:space="0" w:color="auto"/>
          </w:divBdr>
        </w:div>
        <w:div w:id="1612710366">
          <w:marLeft w:val="900"/>
          <w:marRight w:val="0"/>
          <w:marTop w:val="0"/>
          <w:marBottom w:val="101"/>
          <w:divBdr>
            <w:top w:val="none" w:sz="0" w:space="0" w:color="auto"/>
            <w:left w:val="none" w:sz="0" w:space="0" w:color="auto"/>
            <w:bottom w:val="none" w:sz="0" w:space="0" w:color="auto"/>
            <w:right w:val="none" w:sz="0" w:space="0" w:color="auto"/>
          </w:divBdr>
        </w:div>
        <w:div w:id="397362078">
          <w:marLeft w:val="0"/>
          <w:marRight w:val="0"/>
          <w:marTop w:val="20"/>
          <w:marBottom w:val="101"/>
          <w:divBdr>
            <w:top w:val="none" w:sz="0" w:space="0" w:color="auto"/>
            <w:left w:val="none" w:sz="0" w:space="0" w:color="auto"/>
            <w:bottom w:val="none" w:sz="0" w:space="0" w:color="auto"/>
            <w:right w:val="none" w:sz="0" w:space="0" w:color="auto"/>
          </w:divBdr>
        </w:div>
        <w:div w:id="604848753">
          <w:marLeft w:val="0"/>
          <w:marRight w:val="0"/>
          <w:marTop w:val="20"/>
          <w:marBottom w:val="101"/>
          <w:divBdr>
            <w:top w:val="none" w:sz="0" w:space="0" w:color="auto"/>
            <w:left w:val="none" w:sz="0" w:space="0" w:color="auto"/>
            <w:bottom w:val="none" w:sz="0" w:space="0" w:color="auto"/>
            <w:right w:val="none" w:sz="0" w:space="0" w:color="auto"/>
          </w:divBdr>
        </w:div>
        <w:div w:id="178590116">
          <w:marLeft w:val="0"/>
          <w:marRight w:val="0"/>
          <w:marTop w:val="20"/>
          <w:marBottom w:val="101"/>
          <w:divBdr>
            <w:top w:val="none" w:sz="0" w:space="0" w:color="auto"/>
            <w:left w:val="none" w:sz="0" w:space="0" w:color="auto"/>
            <w:bottom w:val="none" w:sz="0" w:space="0" w:color="auto"/>
            <w:right w:val="none" w:sz="0" w:space="0" w:color="auto"/>
          </w:divBdr>
        </w:div>
        <w:div w:id="1133013448">
          <w:marLeft w:val="0"/>
          <w:marRight w:val="0"/>
          <w:marTop w:val="20"/>
          <w:marBottom w:val="101"/>
          <w:divBdr>
            <w:top w:val="none" w:sz="0" w:space="0" w:color="auto"/>
            <w:left w:val="none" w:sz="0" w:space="0" w:color="auto"/>
            <w:bottom w:val="none" w:sz="0" w:space="0" w:color="auto"/>
            <w:right w:val="none" w:sz="0" w:space="0" w:color="auto"/>
          </w:divBdr>
        </w:div>
        <w:div w:id="966546082">
          <w:marLeft w:val="0"/>
          <w:marRight w:val="0"/>
          <w:marTop w:val="20"/>
          <w:marBottom w:val="101"/>
          <w:divBdr>
            <w:top w:val="none" w:sz="0" w:space="0" w:color="auto"/>
            <w:left w:val="none" w:sz="0" w:space="0" w:color="auto"/>
            <w:bottom w:val="none" w:sz="0" w:space="0" w:color="auto"/>
            <w:right w:val="none" w:sz="0" w:space="0" w:color="auto"/>
          </w:divBdr>
        </w:div>
        <w:div w:id="660812313">
          <w:marLeft w:val="0"/>
          <w:marRight w:val="0"/>
          <w:marTop w:val="20"/>
          <w:marBottom w:val="101"/>
          <w:divBdr>
            <w:top w:val="none" w:sz="0" w:space="0" w:color="auto"/>
            <w:left w:val="none" w:sz="0" w:space="0" w:color="auto"/>
            <w:bottom w:val="none" w:sz="0" w:space="0" w:color="auto"/>
            <w:right w:val="none" w:sz="0" w:space="0" w:color="auto"/>
          </w:divBdr>
        </w:div>
        <w:div w:id="146552869">
          <w:marLeft w:val="0"/>
          <w:marRight w:val="0"/>
          <w:marTop w:val="20"/>
          <w:marBottom w:val="101"/>
          <w:divBdr>
            <w:top w:val="none" w:sz="0" w:space="0" w:color="auto"/>
            <w:left w:val="none" w:sz="0" w:space="0" w:color="auto"/>
            <w:bottom w:val="none" w:sz="0" w:space="0" w:color="auto"/>
            <w:right w:val="none" w:sz="0" w:space="0" w:color="auto"/>
          </w:divBdr>
        </w:div>
        <w:div w:id="2118671692">
          <w:marLeft w:val="0"/>
          <w:marRight w:val="0"/>
          <w:marTop w:val="20"/>
          <w:marBottom w:val="101"/>
          <w:divBdr>
            <w:top w:val="none" w:sz="0" w:space="0" w:color="auto"/>
            <w:left w:val="none" w:sz="0" w:space="0" w:color="auto"/>
            <w:bottom w:val="none" w:sz="0" w:space="0" w:color="auto"/>
            <w:right w:val="none" w:sz="0" w:space="0" w:color="auto"/>
          </w:divBdr>
        </w:div>
        <w:div w:id="1307932720">
          <w:marLeft w:val="0"/>
          <w:marRight w:val="0"/>
          <w:marTop w:val="0"/>
          <w:marBottom w:val="101"/>
          <w:divBdr>
            <w:top w:val="none" w:sz="0" w:space="0" w:color="auto"/>
            <w:left w:val="none" w:sz="0" w:space="0" w:color="auto"/>
            <w:bottom w:val="none" w:sz="0" w:space="0" w:color="auto"/>
            <w:right w:val="none" w:sz="0" w:space="0" w:color="auto"/>
          </w:divBdr>
        </w:div>
        <w:div w:id="1695881827">
          <w:marLeft w:val="900"/>
          <w:marRight w:val="0"/>
          <w:marTop w:val="0"/>
          <w:marBottom w:val="101"/>
          <w:divBdr>
            <w:top w:val="none" w:sz="0" w:space="0" w:color="auto"/>
            <w:left w:val="none" w:sz="0" w:space="0" w:color="auto"/>
            <w:bottom w:val="none" w:sz="0" w:space="0" w:color="auto"/>
            <w:right w:val="none" w:sz="0" w:space="0" w:color="auto"/>
          </w:divBdr>
        </w:div>
        <w:div w:id="1777284476">
          <w:marLeft w:val="0"/>
          <w:marRight w:val="0"/>
          <w:marTop w:val="20"/>
          <w:marBottom w:val="101"/>
          <w:divBdr>
            <w:top w:val="none" w:sz="0" w:space="0" w:color="auto"/>
            <w:left w:val="none" w:sz="0" w:space="0" w:color="auto"/>
            <w:bottom w:val="none" w:sz="0" w:space="0" w:color="auto"/>
            <w:right w:val="none" w:sz="0" w:space="0" w:color="auto"/>
          </w:divBdr>
        </w:div>
        <w:div w:id="1963728482">
          <w:marLeft w:val="0"/>
          <w:marRight w:val="0"/>
          <w:marTop w:val="20"/>
          <w:marBottom w:val="101"/>
          <w:divBdr>
            <w:top w:val="none" w:sz="0" w:space="0" w:color="auto"/>
            <w:left w:val="none" w:sz="0" w:space="0" w:color="auto"/>
            <w:bottom w:val="none" w:sz="0" w:space="0" w:color="auto"/>
            <w:right w:val="none" w:sz="0" w:space="0" w:color="auto"/>
          </w:divBdr>
        </w:div>
        <w:div w:id="705789838">
          <w:marLeft w:val="0"/>
          <w:marRight w:val="0"/>
          <w:marTop w:val="20"/>
          <w:marBottom w:val="101"/>
          <w:divBdr>
            <w:top w:val="none" w:sz="0" w:space="0" w:color="auto"/>
            <w:left w:val="none" w:sz="0" w:space="0" w:color="auto"/>
            <w:bottom w:val="none" w:sz="0" w:space="0" w:color="auto"/>
            <w:right w:val="none" w:sz="0" w:space="0" w:color="auto"/>
          </w:divBdr>
        </w:div>
        <w:div w:id="664943039">
          <w:marLeft w:val="0"/>
          <w:marRight w:val="0"/>
          <w:marTop w:val="20"/>
          <w:marBottom w:val="101"/>
          <w:divBdr>
            <w:top w:val="none" w:sz="0" w:space="0" w:color="auto"/>
            <w:left w:val="none" w:sz="0" w:space="0" w:color="auto"/>
            <w:bottom w:val="none" w:sz="0" w:space="0" w:color="auto"/>
            <w:right w:val="none" w:sz="0" w:space="0" w:color="auto"/>
          </w:divBdr>
        </w:div>
        <w:div w:id="2035838878">
          <w:marLeft w:val="0"/>
          <w:marRight w:val="0"/>
          <w:marTop w:val="20"/>
          <w:marBottom w:val="101"/>
          <w:divBdr>
            <w:top w:val="none" w:sz="0" w:space="0" w:color="auto"/>
            <w:left w:val="none" w:sz="0" w:space="0" w:color="auto"/>
            <w:bottom w:val="none" w:sz="0" w:space="0" w:color="auto"/>
            <w:right w:val="none" w:sz="0" w:space="0" w:color="auto"/>
          </w:divBdr>
        </w:div>
        <w:div w:id="764421855">
          <w:marLeft w:val="0"/>
          <w:marRight w:val="0"/>
          <w:marTop w:val="20"/>
          <w:marBottom w:val="101"/>
          <w:divBdr>
            <w:top w:val="none" w:sz="0" w:space="0" w:color="auto"/>
            <w:left w:val="none" w:sz="0" w:space="0" w:color="auto"/>
            <w:bottom w:val="none" w:sz="0" w:space="0" w:color="auto"/>
            <w:right w:val="none" w:sz="0" w:space="0" w:color="auto"/>
          </w:divBdr>
        </w:div>
        <w:div w:id="1120950329">
          <w:marLeft w:val="0"/>
          <w:marRight w:val="0"/>
          <w:marTop w:val="20"/>
          <w:marBottom w:val="101"/>
          <w:divBdr>
            <w:top w:val="none" w:sz="0" w:space="0" w:color="auto"/>
            <w:left w:val="none" w:sz="0" w:space="0" w:color="auto"/>
            <w:bottom w:val="none" w:sz="0" w:space="0" w:color="auto"/>
            <w:right w:val="none" w:sz="0" w:space="0" w:color="auto"/>
          </w:divBdr>
        </w:div>
        <w:div w:id="770127669">
          <w:marLeft w:val="0"/>
          <w:marRight w:val="0"/>
          <w:marTop w:val="20"/>
          <w:marBottom w:val="101"/>
          <w:divBdr>
            <w:top w:val="none" w:sz="0" w:space="0" w:color="auto"/>
            <w:left w:val="none" w:sz="0" w:space="0" w:color="auto"/>
            <w:bottom w:val="none" w:sz="0" w:space="0" w:color="auto"/>
            <w:right w:val="none" w:sz="0" w:space="0" w:color="auto"/>
          </w:divBdr>
        </w:div>
        <w:div w:id="137918223">
          <w:marLeft w:val="0"/>
          <w:marRight w:val="0"/>
          <w:marTop w:val="20"/>
          <w:marBottom w:val="101"/>
          <w:divBdr>
            <w:top w:val="none" w:sz="0" w:space="0" w:color="auto"/>
            <w:left w:val="none" w:sz="0" w:space="0" w:color="auto"/>
            <w:bottom w:val="none" w:sz="0" w:space="0" w:color="auto"/>
            <w:right w:val="none" w:sz="0" w:space="0" w:color="auto"/>
          </w:divBdr>
        </w:div>
        <w:div w:id="618225968">
          <w:marLeft w:val="0"/>
          <w:marRight w:val="0"/>
          <w:marTop w:val="20"/>
          <w:marBottom w:val="101"/>
          <w:divBdr>
            <w:top w:val="none" w:sz="0" w:space="0" w:color="auto"/>
            <w:left w:val="none" w:sz="0" w:space="0" w:color="auto"/>
            <w:bottom w:val="none" w:sz="0" w:space="0" w:color="auto"/>
            <w:right w:val="none" w:sz="0" w:space="0" w:color="auto"/>
          </w:divBdr>
        </w:div>
        <w:div w:id="329413035">
          <w:marLeft w:val="0"/>
          <w:marRight w:val="0"/>
          <w:marTop w:val="20"/>
          <w:marBottom w:val="101"/>
          <w:divBdr>
            <w:top w:val="none" w:sz="0" w:space="0" w:color="auto"/>
            <w:left w:val="none" w:sz="0" w:space="0" w:color="auto"/>
            <w:bottom w:val="none" w:sz="0" w:space="0" w:color="auto"/>
            <w:right w:val="none" w:sz="0" w:space="0" w:color="auto"/>
          </w:divBdr>
        </w:div>
        <w:div w:id="1206943548">
          <w:marLeft w:val="0"/>
          <w:marRight w:val="0"/>
          <w:marTop w:val="20"/>
          <w:marBottom w:val="101"/>
          <w:divBdr>
            <w:top w:val="none" w:sz="0" w:space="0" w:color="auto"/>
            <w:left w:val="none" w:sz="0" w:space="0" w:color="auto"/>
            <w:bottom w:val="none" w:sz="0" w:space="0" w:color="auto"/>
            <w:right w:val="none" w:sz="0" w:space="0" w:color="auto"/>
          </w:divBdr>
        </w:div>
        <w:div w:id="834494272">
          <w:marLeft w:val="0"/>
          <w:marRight w:val="0"/>
          <w:marTop w:val="20"/>
          <w:marBottom w:val="101"/>
          <w:divBdr>
            <w:top w:val="none" w:sz="0" w:space="0" w:color="auto"/>
            <w:left w:val="none" w:sz="0" w:space="0" w:color="auto"/>
            <w:bottom w:val="none" w:sz="0" w:space="0" w:color="auto"/>
            <w:right w:val="none" w:sz="0" w:space="0" w:color="auto"/>
          </w:divBdr>
        </w:div>
        <w:div w:id="857626042">
          <w:marLeft w:val="0"/>
          <w:marRight w:val="0"/>
          <w:marTop w:val="20"/>
          <w:marBottom w:val="101"/>
          <w:divBdr>
            <w:top w:val="none" w:sz="0" w:space="0" w:color="auto"/>
            <w:left w:val="none" w:sz="0" w:space="0" w:color="auto"/>
            <w:bottom w:val="none" w:sz="0" w:space="0" w:color="auto"/>
            <w:right w:val="none" w:sz="0" w:space="0" w:color="auto"/>
          </w:divBdr>
        </w:div>
        <w:div w:id="1421102396">
          <w:marLeft w:val="0"/>
          <w:marRight w:val="0"/>
          <w:marTop w:val="20"/>
          <w:marBottom w:val="101"/>
          <w:divBdr>
            <w:top w:val="none" w:sz="0" w:space="0" w:color="auto"/>
            <w:left w:val="none" w:sz="0" w:space="0" w:color="auto"/>
            <w:bottom w:val="none" w:sz="0" w:space="0" w:color="auto"/>
            <w:right w:val="none" w:sz="0" w:space="0" w:color="auto"/>
          </w:divBdr>
        </w:div>
        <w:div w:id="605313066">
          <w:marLeft w:val="0"/>
          <w:marRight w:val="0"/>
          <w:marTop w:val="20"/>
          <w:marBottom w:val="101"/>
          <w:divBdr>
            <w:top w:val="none" w:sz="0" w:space="0" w:color="auto"/>
            <w:left w:val="none" w:sz="0" w:space="0" w:color="auto"/>
            <w:bottom w:val="none" w:sz="0" w:space="0" w:color="auto"/>
            <w:right w:val="none" w:sz="0" w:space="0" w:color="auto"/>
          </w:divBdr>
        </w:div>
        <w:div w:id="1427729805">
          <w:marLeft w:val="0"/>
          <w:marRight w:val="0"/>
          <w:marTop w:val="20"/>
          <w:marBottom w:val="101"/>
          <w:divBdr>
            <w:top w:val="none" w:sz="0" w:space="0" w:color="auto"/>
            <w:left w:val="none" w:sz="0" w:space="0" w:color="auto"/>
            <w:bottom w:val="none" w:sz="0" w:space="0" w:color="auto"/>
            <w:right w:val="none" w:sz="0" w:space="0" w:color="auto"/>
          </w:divBdr>
        </w:div>
        <w:div w:id="1478840792">
          <w:marLeft w:val="0"/>
          <w:marRight w:val="0"/>
          <w:marTop w:val="20"/>
          <w:marBottom w:val="101"/>
          <w:divBdr>
            <w:top w:val="none" w:sz="0" w:space="0" w:color="auto"/>
            <w:left w:val="none" w:sz="0" w:space="0" w:color="auto"/>
            <w:bottom w:val="none" w:sz="0" w:space="0" w:color="auto"/>
            <w:right w:val="none" w:sz="0" w:space="0" w:color="auto"/>
          </w:divBdr>
        </w:div>
        <w:div w:id="2024242270">
          <w:marLeft w:val="0"/>
          <w:marRight w:val="0"/>
          <w:marTop w:val="20"/>
          <w:marBottom w:val="101"/>
          <w:divBdr>
            <w:top w:val="none" w:sz="0" w:space="0" w:color="auto"/>
            <w:left w:val="none" w:sz="0" w:space="0" w:color="auto"/>
            <w:bottom w:val="none" w:sz="0" w:space="0" w:color="auto"/>
            <w:right w:val="none" w:sz="0" w:space="0" w:color="auto"/>
          </w:divBdr>
        </w:div>
        <w:div w:id="1376812883">
          <w:marLeft w:val="0"/>
          <w:marRight w:val="0"/>
          <w:marTop w:val="20"/>
          <w:marBottom w:val="101"/>
          <w:divBdr>
            <w:top w:val="none" w:sz="0" w:space="0" w:color="auto"/>
            <w:left w:val="none" w:sz="0" w:space="0" w:color="auto"/>
            <w:bottom w:val="none" w:sz="0" w:space="0" w:color="auto"/>
            <w:right w:val="none" w:sz="0" w:space="0" w:color="auto"/>
          </w:divBdr>
        </w:div>
        <w:div w:id="911506155">
          <w:marLeft w:val="0"/>
          <w:marRight w:val="0"/>
          <w:marTop w:val="20"/>
          <w:marBottom w:val="101"/>
          <w:divBdr>
            <w:top w:val="none" w:sz="0" w:space="0" w:color="auto"/>
            <w:left w:val="none" w:sz="0" w:space="0" w:color="auto"/>
            <w:bottom w:val="none" w:sz="0" w:space="0" w:color="auto"/>
            <w:right w:val="none" w:sz="0" w:space="0" w:color="auto"/>
          </w:divBdr>
        </w:div>
        <w:div w:id="751197074">
          <w:marLeft w:val="0"/>
          <w:marRight w:val="0"/>
          <w:marTop w:val="20"/>
          <w:marBottom w:val="101"/>
          <w:divBdr>
            <w:top w:val="none" w:sz="0" w:space="0" w:color="auto"/>
            <w:left w:val="none" w:sz="0" w:space="0" w:color="auto"/>
            <w:bottom w:val="none" w:sz="0" w:space="0" w:color="auto"/>
            <w:right w:val="none" w:sz="0" w:space="0" w:color="auto"/>
          </w:divBdr>
        </w:div>
        <w:div w:id="761101663">
          <w:marLeft w:val="907"/>
          <w:marRight w:val="0"/>
          <w:marTop w:val="80"/>
          <w:marBottom w:val="101"/>
          <w:divBdr>
            <w:top w:val="none" w:sz="0" w:space="0" w:color="auto"/>
            <w:left w:val="none" w:sz="0" w:space="0" w:color="auto"/>
            <w:bottom w:val="none" w:sz="0" w:space="0" w:color="auto"/>
            <w:right w:val="none" w:sz="0" w:space="0" w:color="auto"/>
          </w:divBdr>
        </w:div>
        <w:div w:id="1561667171">
          <w:marLeft w:val="900"/>
          <w:marRight w:val="0"/>
          <w:marTop w:val="0"/>
          <w:marBottom w:val="101"/>
          <w:divBdr>
            <w:top w:val="none" w:sz="0" w:space="0" w:color="auto"/>
            <w:left w:val="none" w:sz="0" w:space="0" w:color="auto"/>
            <w:bottom w:val="none" w:sz="0" w:space="0" w:color="auto"/>
            <w:right w:val="none" w:sz="0" w:space="0" w:color="auto"/>
          </w:divBdr>
        </w:div>
        <w:div w:id="867062607">
          <w:marLeft w:val="900"/>
          <w:marRight w:val="0"/>
          <w:marTop w:val="0"/>
          <w:marBottom w:val="101"/>
          <w:divBdr>
            <w:top w:val="none" w:sz="0" w:space="0" w:color="auto"/>
            <w:left w:val="none" w:sz="0" w:space="0" w:color="auto"/>
            <w:bottom w:val="none" w:sz="0" w:space="0" w:color="auto"/>
            <w:right w:val="none" w:sz="0" w:space="0" w:color="auto"/>
          </w:divBdr>
        </w:div>
        <w:div w:id="237905989">
          <w:marLeft w:val="1260"/>
          <w:marRight w:val="0"/>
          <w:marTop w:val="0"/>
          <w:marBottom w:val="101"/>
          <w:divBdr>
            <w:top w:val="none" w:sz="0" w:space="0" w:color="auto"/>
            <w:left w:val="none" w:sz="0" w:space="0" w:color="auto"/>
            <w:bottom w:val="none" w:sz="0" w:space="0" w:color="auto"/>
            <w:right w:val="none" w:sz="0" w:space="0" w:color="auto"/>
          </w:divBdr>
        </w:div>
        <w:div w:id="1854755724">
          <w:marLeft w:val="1260"/>
          <w:marRight w:val="0"/>
          <w:marTop w:val="0"/>
          <w:marBottom w:val="101"/>
          <w:divBdr>
            <w:top w:val="none" w:sz="0" w:space="0" w:color="auto"/>
            <w:left w:val="none" w:sz="0" w:space="0" w:color="auto"/>
            <w:bottom w:val="none" w:sz="0" w:space="0" w:color="auto"/>
            <w:right w:val="none" w:sz="0" w:space="0" w:color="auto"/>
          </w:divBdr>
        </w:div>
        <w:div w:id="965891810">
          <w:marLeft w:val="1260"/>
          <w:marRight w:val="0"/>
          <w:marTop w:val="0"/>
          <w:marBottom w:val="101"/>
          <w:divBdr>
            <w:top w:val="none" w:sz="0" w:space="0" w:color="auto"/>
            <w:left w:val="none" w:sz="0" w:space="0" w:color="auto"/>
            <w:bottom w:val="none" w:sz="0" w:space="0" w:color="auto"/>
            <w:right w:val="none" w:sz="0" w:space="0" w:color="auto"/>
          </w:divBdr>
        </w:div>
        <w:div w:id="1175268898">
          <w:marLeft w:val="810"/>
          <w:marRight w:val="0"/>
          <w:marTop w:val="0"/>
          <w:marBottom w:val="101"/>
          <w:divBdr>
            <w:top w:val="none" w:sz="0" w:space="0" w:color="auto"/>
            <w:left w:val="none" w:sz="0" w:space="0" w:color="auto"/>
            <w:bottom w:val="none" w:sz="0" w:space="0" w:color="auto"/>
            <w:right w:val="none" w:sz="0" w:space="0" w:color="auto"/>
          </w:divBdr>
        </w:div>
        <w:div w:id="1704596691">
          <w:marLeft w:val="810"/>
          <w:marRight w:val="0"/>
          <w:marTop w:val="0"/>
          <w:marBottom w:val="101"/>
          <w:divBdr>
            <w:top w:val="none" w:sz="0" w:space="0" w:color="auto"/>
            <w:left w:val="none" w:sz="0" w:space="0" w:color="auto"/>
            <w:bottom w:val="none" w:sz="0" w:space="0" w:color="auto"/>
            <w:right w:val="none" w:sz="0" w:space="0" w:color="auto"/>
          </w:divBdr>
        </w:div>
        <w:div w:id="2031370889">
          <w:marLeft w:val="1260"/>
          <w:marRight w:val="0"/>
          <w:marTop w:val="0"/>
          <w:marBottom w:val="101"/>
          <w:divBdr>
            <w:top w:val="none" w:sz="0" w:space="0" w:color="auto"/>
            <w:left w:val="none" w:sz="0" w:space="0" w:color="auto"/>
            <w:bottom w:val="none" w:sz="0" w:space="0" w:color="auto"/>
            <w:right w:val="none" w:sz="0" w:space="0" w:color="auto"/>
          </w:divBdr>
        </w:div>
        <w:div w:id="410742557">
          <w:marLeft w:val="1260"/>
          <w:marRight w:val="0"/>
          <w:marTop w:val="0"/>
          <w:marBottom w:val="101"/>
          <w:divBdr>
            <w:top w:val="none" w:sz="0" w:space="0" w:color="auto"/>
            <w:left w:val="none" w:sz="0" w:space="0" w:color="auto"/>
            <w:bottom w:val="none" w:sz="0" w:space="0" w:color="auto"/>
            <w:right w:val="none" w:sz="0" w:space="0" w:color="auto"/>
          </w:divBdr>
        </w:div>
        <w:div w:id="1603731734">
          <w:marLeft w:val="1260"/>
          <w:marRight w:val="0"/>
          <w:marTop w:val="0"/>
          <w:marBottom w:val="101"/>
          <w:divBdr>
            <w:top w:val="none" w:sz="0" w:space="0" w:color="auto"/>
            <w:left w:val="none" w:sz="0" w:space="0" w:color="auto"/>
            <w:bottom w:val="none" w:sz="0" w:space="0" w:color="auto"/>
            <w:right w:val="none" w:sz="0" w:space="0" w:color="auto"/>
          </w:divBdr>
        </w:div>
        <w:div w:id="1006206346">
          <w:marLeft w:val="810"/>
          <w:marRight w:val="0"/>
          <w:marTop w:val="0"/>
          <w:marBottom w:val="101"/>
          <w:divBdr>
            <w:top w:val="none" w:sz="0" w:space="0" w:color="auto"/>
            <w:left w:val="none" w:sz="0" w:space="0" w:color="auto"/>
            <w:bottom w:val="none" w:sz="0" w:space="0" w:color="auto"/>
            <w:right w:val="none" w:sz="0" w:space="0" w:color="auto"/>
          </w:divBdr>
        </w:div>
        <w:div w:id="1046639235">
          <w:marLeft w:val="810"/>
          <w:marRight w:val="0"/>
          <w:marTop w:val="0"/>
          <w:marBottom w:val="101"/>
          <w:divBdr>
            <w:top w:val="none" w:sz="0" w:space="0" w:color="auto"/>
            <w:left w:val="none" w:sz="0" w:space="0" w:color="auto"/>
            <w:bottom w:val="none" w:sz="0" w:space="0" w:color="auto"/>
            <w:right w:val="none" w:sz="0" w:space="0" w:color="auto"/>
          </w:divBdr>
        </w:div>
        <w:div w:id="1167207307">
          <w:marLeft w:val="810"/>
          <w:marRight w:val="0"/>
          <w:marTop w:val="0"/>
          <w:marBottom w:val="101"/>
          <w:divBdr>
            <w:top w:val="none" w:sz="0" w:space="0" w:color="auto"/>
            <w:left w:val="none" w:sz="0" w:space="0" w:color="auto"/>
            <w:bottom w:val="none" w:sz="0" w:space="0" w:color="auto"/>
            <w:right w:val="none" w:sz="0" w:space="0" w:color="auto"/>
          </w:divBdr>
        </w:div>
        <w:div w:id="203760521">
          <w:marLeft w:val="0"/>
          <w:marRight w:val="0"/>
          <w:marTop w:val="40"/>
          <w:marBottom w:val="101"/>
          <w:divBdr>
            <w:top w:val="none" w:sz="0" w:space="0" w:color="auto"/>
            <w:left w:val="none" w:sz="0" w:space="0" w:color="auto"/>
            <w:bottom w:val="none" w:sz="0" w:space="0" w:color="auto"/>
            <w:right w:val="none" w:sz="0" w:space="0" w:color="auto"/>
          </w:divBdr>
        </w:div>
        <w:div w:id="1660235639">
          <w:marLeft w:val="0"/>
          <w:marRight w:val="0"/>
          <w:marTop w:val="40"/>
          <w:marBottom w:val="101"/>
          <w:divBdr>
            <w:top w:val="none" w:sz="0" w:space="0" w:color="auto"/>
            <w:left w:val="none" w:sz="0" w:space="0" w:color="auto"/>
            <w:bottom w:val="none" w:sz="0" w:space="0" w:color="auto"/>
            <w:right w:val="none" w:sz="0" w:space="0" w:color="auto"/>
          </w:divBdr>
        </w:div>
        <w:div w:id="2107193667">
          <w:marLeft w:val="0"/>
          <w:marRight w:val="0"/>
          <w:marTop w:val="40"/>
          <w:marBottom w:val="101"/>
          <w:divBdr>
            <w:top w:val="none" w:sz="0" w:space="0" w:color="auto"/>
            <w:left w:val="none" w:sz="0" w:space="0" w:color="auto"/>
            <w:bottom w:val="none" w:sz="0" w:space="0" w:color="auto"/>
            <w:right w:val="none" w:sz="0" w:space="0" w:color="auto"/>
          </w:divBdr>
        </w:div>
        <w:div w:id="1412435088">
          <w:marLeft w:val="0"/>
          <w:marRight w:val="0"/>
          <w:marTop w:val="40"/>
          <w:marBottom w:val="101"/>
          <w:divBdr>
            <w:top w:val="none" w:sz="0" w:space="0" w:color="auto"/>
            <w:left w:val="none" w:sz="0" w:space="0" w:color="auto"/>
            <w:bottom w:val="none" w:sz="0" w:space="0" w:color="auto"/>
            <w:right w:val="none" w:sz="0" w:space="0" w:color="auto"/>
          </w:divBdr>
        </w:div>
        <w:div w:id="2042438624">
          <w:marLeft w:val="0"/>
          <w:marRight w:val="0"/>
          <w:marTop w:val="40"/>
          <w:marBottom w:val="101"/>
          <w:divBdr>
            <w:top w:val="none" w:sz="0" w:space="0" w:color="auto"/>
            <w:left w:val="none" w:sz="0" w:space="0" w:color="auto"/>
            <w:bottom w:val="none" w:sz="0" w:space="0" w:color="auto"/>
            <w:right w:val="none" w:sz="0" w:space="0" w:color="auto"/>
          </w:divBdr>
        </w:div>
        <w:div w:id="1585644898">
          <w:marLeft w:val="0"/>
          <w:marRight w:val="0"/>
          <w:marTop w:val="40"/>
          <w:marBottom w:val="101"/>
          <w:divBdr>
            <w:top w:val="none" w:sz="0" w:space="0" w:color="auto"/>
            <w:left w:val="none" w:sz="0" w:space="0" w:color="auto"/>
            <w:bottom w:val="none" w:sz="0" w:space="0" w:color="auto"/>
            <w:right w:val="none" w:sz="0" w:space="0" w:color="auto"/>
          </w:divBdr>
        </w:div>
        <w:div w:id="1981031614">
          <w:marLeft w:val="810"/>
          <w:marRight w:val="0"/>
          <w:marTop w:val="0"/>
          <w:marBottom w:val="101"/>
          <w:divBdr>
            <w:top w:val="none" w:sz="0" w:space="0" w:color="auto"/>
            <w:left w:val="none" w:sz="0" w:space="0" w:color="auto"/>
            <w:bottom w:val="none" w:sz="0" w:space="0" w:color="auto"/>
            <w:right w:val="none" w:sz="0" w:space="0" w:color="auto"/>
          </w:divBdr>
        </w:div>
        <w:div w:id="284234622">
          <w:marLeft w:val="810"/>
          <w:marRight w:val="0"/>
          <w:marTop w:val="0"/>
          <w:marBottom w:val="101"/>
          <w:divBdr>
            <w:top w:val="none" w:sz="0" w:space="0" w:color="auto"/>
            <w:left w:val="none" w:sz="0" w:space="0" w:color="auto"/>
            <w:bottom w:val="none" w:sz="0" w:space="0" w:color="auto"/>
            <w:right w:val="none" w:sz="0" w:space="0" w:color="auto"/>
          </w:divBdr>
        </w:div>
        <w:div w:id="1653564664">
          <w:marLeft w:val="0"/>
          <w:marRight w:val="0"/>
          <w:marTop w:val="40"/>
          <w:marBottom w:val="101"/>
          <w:divBdr>
            <w:top w:val="none" w:sz="0" w:space="0" w:color="auto"/>
            <w:left w:val="none" w:sz="0" w:space="0" w:color="auto"/>
            <w:bottom w:val="none" w:sz="0" w:space="0" w:color="auto"/>
            <w:right w:val="none" w:sz="0" w:space="0" w:color="auto"/>
          </w:divBdr>
        </w:div>
        <w:div w:id="497383409">
          <w:marLeft w:val="0"/>
          <w:marRight w:val="0"/>
          <w:marTop w:val="40"/>
          <w:marBottom w:val="101"/>
          <w:divBdr>
            <w:top w:val="none" w:sz="0" w:space="0" w:color="auto"/>
            <w:left w:val="none" w:sz="0" w:space="0" w:color="auto"/>
            <w:bottom w:val="none" w:sz="0" w:space="0" w:color="auto"/>
            <w:right w:val="none" w:sz="0" w:space="0" w:color="auto"/>
          </w:divBdr>
        </w:div>
        <w:div w:id="2003000611">
          <w:marLeft w:val="0"/>
          <w:marRight w:val="0"/>
          <w:marTop w:val="40"/>
          <w:marBottom w:val="101"/>
          <w:divBdr>
            <w:top w:val="none" w:sz="0" w:space="0" w:color="auto"/>
            <w:left w:val="none" w:sz="0" w:space="0" w:color="auto"/>
            <w:bottom w:val="none" w:sz="0" w:space="0" w:color="auto"/>
            <w:right w:val="none" w:sz="0" w:space="0" w:color="auto"/>
          </w:divBdr>
        </w:div>
        <w:div w:id="1010335306">
          <w:marLeft w:val="0"/>
          <w:marRight w:val="0"/>
          <w:marTop w:val="40"/>
          <w:marBottom w:val="101"/>
          <w:divBdr>
            <w:top w:val="none" w:sz="0" w:space="0" w:color="auto"/>
            <w:left w:val="none" w:sz="0" w:space="0" w:color="auto"/>
            <w:bottom w:val="none" w:sz="0" w:space="0" w:color="auto"/>
            <w:right w:val="none" w:sz="0" w:space="0" w:color="auto"/>
          </w:divBdr>
        </w:div>
        <w:div w:id="178466855">
          <w:marLeft w:val="0"/>
          <w:marRight w:val="0"/>
          <w:marTop w:val="40"/>
          <w:marBottom w:val="101"/>
          <w:divBdr>
            <w:top w:val="none" w:sz="0" w:space="0" w:color="auto"/>
            <w:left w:val="none" w:sz="0" w:space="0" w:color="auto"/>
            <w:bottom w:val="none" w:sz="0" w:space="0" w:color="auto"/>
            <w:right w:val="none" w:sz="0" w:space="0" w:color="auto"/>
          </w:divBdr>
        </w:div>
        <w:div w:id="1524780588">
          <w:marLeft w:val="0"/>
          <w:marRight w:val="0"/>
          <w:marTop w:val="40"/>
          <w:marBottom w:val="101"/>
          <w:divBdr>
            <w:top w:val="none" w:sz="0" w:space="0" w:color="auto"/>
            <w:left w:val="none" w:sz="0" w:space="0" w:color="auto"/>
            <w:bottom w:val="none" w:sz="0" w:space="0" w:color="auto"/>
            <w:right w:val="none" w:sz="0" w:space="0" w:color="auto"/>
          </w:divBdr>
        </w:div>
        <w:div w:id="110562658">
          <w:marLeft w:val="0"/>
          <w:marRight w:val="0"/>
          <w:marTop w:val="40"/>
          <w:marBottom w:val="101"/>
          <w:divBdr>
            <w:top w:val="none" w:sz="0" w:space="0" w:color="auto"/>
            <w:left w:val="none" w:sz="0" w:space="0" w:color="auto"/>
            <w:bottom w:val="none" w:sz="0" w:space="0" w:color="auto"/>
            <w:right w:val="none" w:sz="0" w:space="0" w:color="auto"/>
          </w:divBdr>
        </w:div>
        <w:div w:id="2121684773">
          <w:marLeft w:val="0"/>
          <w:marRight w:val="0"/>
          <w:marTop w:val="40"/>
          <w:marBottom w:val="101"/>
          <w:divBdr>
            <w:top w:val="none" w:sz="0" w:space="0" w:color="auto"/>
            <w:left w:val="none" w:sz="0" w:space="0" w:color="auto"/>
            <w:bottom w:val="none" w:sz="0" w:space="0" w:color="auto"/>
            <w:right w:val="none" w:sz="0" w:space="0" w:color="auto"/>
          </w:divBdr>
        </w:div>
        <w:div w:id="1343974613">
          <w:marLeft w:val="0"/>
          <w:marRight w:val="0"/>
          <w:marTop w:val="40"/>
          <w:marBottom w:val="101"/>
          <w:divBdr>
            <w:top w:val="none" w:sz="0" w:space="0" w:color="auto"/>
            <w:left w:val="none" w:sz="0" w:space="0" w:color="auto"/>
            <w:bottom w:val="none" w:sz="0" w:space="0" w:color="auto"/>
            <w:right w:val="none" w:sz="0" w:space="0" w:color="auto"/>
          </w:divBdr>
        </w:div>
        <w:div w:id="1105538328">
          <w:marLeft w:val="0"/>
          <w:marRight w:val="0"/>
          <w:marTop w:val="40"/>
          <w:marBottom w:val="101"/>
          <w:divBdr>
            <w:top w:val="none" w:sz="0" w:space="0" w:color="auto"/>
            <w:left w:val="none" w:sz="0" w:space="0" w:color="auto"/>
            <w:bottom w:val="none" w:sz="0" w:space="0" w:color="auto"/>
            <w:right w:val="none" w:sz="0" w:space="0" w:color="auto"/>
          </w:divBdr>
        </w:div>
        <w:div w:id="189491777">
          <w:marLeft w:val="0"/>
          <w:marRight w:val="0"/>
          <w:marTop w:val="40"/>
          <w:marBottom w:val="101"/>
          <w:divBdr>
            <w:top w:val="none" w:sz="0" w:space="0" w:color="auto"/>
            <w:left w:val="none" w:sz="0" w:space="0" w:color="auto"/>
            <w:bottom w:val="none" w:sz="0" w:space="0" w:color="auto"/>
            <w:right w:val="none" w:sz="0" w:space="0" w:color="auto"/>
          </w:divBdr>
        </w:div>
        <w:div w:id="2043051390">
          <w:marLeft w:val="0"/>
          <w:marRight w:val="0"/>
          <w:marTop w:val="40"/>
          <w:marBottom w:val="101"/>
          <w:divBdr>
            <w:top w:val="none" w:sz="0" w:space="0" w:color="auto"/>
            <w:left w:val="none" w:sz="0" w:space="0" w:color="auto"/>
            <w:bottom w:val="none" w:sz="0" w:space="0" w:color="auto"/>
            <w:right w:val="none" w:sz="0" w:space="0" w:color="auto"/>
          </w:divBdr>
        </w:div>
        <w:div w:id="2049721100">
          <w:marLeft w:val="0"/>
          <w:marRight w:val="0"/>
          <w:marTop w:val="40"/>
          <w:marBottom w:val="101"/>
          <w:divBdr>
            <w:top w:val="none" w:sz="0" w:space="0" w:color="auto"/>
            <w:left w:val="none" w:sz="0" w:space="0" w:color="auto"/>
            <w:bottom w:val="none" w:sz="0" w:space="0" w:color="auto"/>
            <w:right w:val="none" w:sz="0" w:space="0" w:color="auto"/>
          </w:divBdr>
        </w:div>
        <w:div w:id="820970474">
          <w:marLeft w:val="0"/>
          <w:marRight w:val="0"/>
          <w:marTop w:val="40"/>
          <w:marBottom w:val="101"/>
          <w:divBdr>
            <w:top w:val="none" w:sz="0" w:space="0" w:color="auto"/>
            <w:left w:val="none" w:sz="0" w:space="0" w:color="auto"/>
            <w:bottom w:val="none" w:sz="0" w:space="0" w:color="auto"/>
            <w:right w:val="none" w:sz="0" w:space="0" w:color="auto"/>
          </w:divBdr>
        </w:div>
        <w:div w:id="1121998865">
          <w:marLeft w:val="0"/>
          <w:marRight w:val="0"/>
          <w:marTop w:val="40"/>
          <w:marBottom w:val="101"/>
          <w:divBdr>
            <w:top w:val="none" w:sz="0" w:space="0" w:color="auto"/>
            <w:left w:val="none" w:sz="0" w:space="0" w:color="auto"/>
            <w:bottom w:val="none" w:sz="0" w:space="0" w:color="auto"/>
            <w:right w:val="none" w:sz="0" w:space="0" w:color="auto"/>
          </w:divBdr>
        </w:div>
        <w:div w:id="363797193">
          <w:marLeft w:val="0"/>
          <w:marRight w:val="0"/>
          <w:marTop w:val="40"/>
          <w:marBottom w:val="101"/>
          <w:divBdr>
            <w:top w:val="none" w:sz="0" w:space="0" w:color="auto"/>
            <w:left w:val="none" w:sz="0" w:space="0" w:color="auto"/>
            <w:bottom w:val="none" w:sz="0" w:space="0" w:color="auto"/>
            <w:right w:val="none" w:sz="0" w:space="0" w:color="auto"/>
          </w:divBdr>
        </w:div>
        <w:div w:id="448205188">
          <w:marLeft w:val="0"/>
          <w:marRight w:val="0"/>
          <w:marTop w:val="40"/>
          <w:marBottom w:val="101"/>
          <w:divBdr>
            <w:top w:val="none" w:sz="0" w:space="0" w:color="auto"/>
            <w:left w:val="none" w:sz="0" w:space="0" w:color="auto"/>
            <w:bottom w:val="none" w:sz="0" w:space="0" w:color="auto"/>
            <w:right w:val="none" w:sz="0" w:space="0" w:color="auto"/>
          </w:divBdr>
        </w:div>
        <w:div w:id="215629154">
          <w:marLeft w:val="907"/>
          <w:marRight w:val="0"/>
          <w:marTop w:val="60"/>
          <w:marBottom w:val="101"/>
          <w:divBdr>
            <w:top w:val="none" w:sz="0" w:space="0" w:color="auto"/>
            <w:left w:val="none" w:sz="0" w:space="0" w:color="auto"/>
            <w:bottom w:val="none" w:sz="0" w:space="0" w:color="auto"/>
            <w:right w:val="none" w:sz="0" w:space="0" w:color="auto"/>
          </w:divBdr>
        </w:div>
        <w:div w:id="2048213263">
          <w:marLeft w:val="900"/>
          <w:marRight w:val="0"/>
          <w:marTop w:val="0"/>
          <w:marBottom w:val="101"/>
          <w:divBdr>
            <w:top w:val="none" w:sz="0" w:space="0" w:color="auto"/>
            <w:left w:val="none" w:sz="0" w:space="0" w:color="auto"/>
            <w:bottom w:val="none" w:sz="0" w:space="0" w:color="auto"/>
            <w:right w:val="none" w:sz="0" w:space="0" w:color="auto"/>
          </w:divBdr>
        </w:div>
        <w:div w:id="2029217636">
          <w:marLeft w:val="900"/>
          <w:marRight w:val="0"/>
          <w:marTop w:val="0"/>
          <w:marBottom w:val="101"/>
          <w:divBdr>
            <w:top w:val="none" w:sz="0" w:space="0" w:color="auto"/>
            <w:left w:val="none" w:sz="0" w:space="0" w:color="auto"/>
            <w:bottom w:val="none" w:sz="0" w:space="0" w:color="auto"/>
            <w:right w:val="none" w:sz="0" w:space="0" w:color="auto"/>
          </w:divBdr>
        </w:div>
        <w:div w:id="2146463205">
          <w:marLeft w:val="900"/>
          <w:marRight w:val="0"/>
          <w:marTop w:val="0"/>
          <w:marBottom w:val="101"/>
          <w:divBdr>
            <w:top w:val="none" w:sz="0" w:space="0" w:color="auto"/>
            <w:left w:val="none" w:sz="0" w:space="0" w:color="auto"/>
            <w:bottom w:val="none" w:sz="0" w:space="0" w:color="auto"/>
            <w:right w:val="none" w:sz="0" w:space="0" w:color="auto"/>
          </w:divBdr>
        </w:div>
        <w:div w:id="288049076">
          <w:marLeft w:val="900"/>
          <w:marRight w:val="0"/>
          <w:marTop w:val="0"/>
          <w:marBottom w:val="101"/>
          <w:divBdr>
            <w:top w:val="none" w:sz="0" w:space="0" w:color="auto"/>
            <w:left w:val="none" w:sz="0" w:space="0" w:color="auto"/>
            <w:bottom w:val="none" w:sz="0" w:space="0" w:color="auto"/>
            <w:right w:val="none" w:sz="0" w:space="0" w:color="auto"/>
          </w:divBdr>
        </w:div>
        <w:div w:id="1934628477">
          <w:marLeft w:val="900"/>
          <w:marRight w:val="0"/>
          <w:marTop w:val="0"/>
          <w:marBottom w:val="101"/>
          <w:divBdr>
            <w:top w:val="none" w:sz="0" w:space="0" w:color="auto"/>
            <w:left w:val="none" w:sz="0" w:space="0" w:color="auto"/>
            <w:bottom w:val="none" w:sz="0" w:space="0" w:color="auto"/>
            <w:right w:val="none" w:sz="0" w:space="0" w:color="auto"/>
          </w:divBdr>
        </w:div>
        <w:div w:id="1486700331">
          <w:marLeft w:val="900"/>
          <w:marRight w:val="0"/>
          <w:marTop w:val="0"/>
          <w:marBottom w:val="101"/>
          <w:divBdr>
            <w:top w:val="none" w:sz="0" w:space="0" w:color="auto"/>
            <w:left w:val="none" w:sz="0" w:space="0" w:color="auto"/>
            <w:bottom w:val="none" w:sz="0" w:space="0" w:color="auto"/>
            <w:right w:val="none" w:sz="0" w:space="0" w:color="auto"/>
          </w:divBdr>
        </w:div>
        <w:div w:id="1848710695">
          <w:marLeft w:val="900"/>
          <w:marRight w:val="0"/>
          <w:marTop w:val="0"/>
          <w:marBottom w:val="101"/>
          <w:divBdr>
            <w:top w:val="none" w:sz="0" w:space="0" w:color="auto"/>
            <w:left w:val="none" w:sz="0" w:space="0" w:color="auto"/>
            <w:bottom w:val="none" w:sz="0" w:space="0" w:color="auto"/>
            <w:right w:val="none" w:sz="0" w:space="0" w:color="auto"/>
          </w:divBdr>
        </w:div>
        <w:div w:id="1402017732">
          <w:marLeft w:val="900"/>
          <w:marRight w:val="0"/>
          <w:marTop w:val="0"/>
          <w:marBottom w:val="101"/>
          <w:divBdr>
            <w:top w:val="none" w:sz="0" w:space="0" w:color="auto"/>
            <w:left w:val="none" w:sz="0" w:space="0" w:color="auto"/>
            <w:bottom w:val="none" w:sz="0" w:space="0" w:color="auto"/>
            <w:right w:val="none" w:sz="0" w:space="0" w:color="auto"/>
          </w:divBdr>
        </w:div>
        <w:div w:id="1061441740">
          <w:marLeft w:val="0"/>
          <w:marRight w:val="0"/>
          <w:marTop w:val="0"/>
          <w:marBottom w:val="101"/>
          <w:divBdr>
            <w:top w:val="none" w:sz="0" w:space="0" w:color="auto"/>
            <w:left w:val="none" w:sz="0" w:space="0" w:color="auto"/>
            <w:bottom w:val="none" w:sz="0" w:space="0" w:color="auto"/>
            <w:right w:val="none" w:sz="0" w:space="0" w:color="auto"/>
          </w:divBdr>
        </w:div>
        <w:div w:id="1321348998">
          <w:marLeft w:val="0"/>
          <w:marRight w:val="0"/>
          <w:marTop w:val="0"/>
          <w:marBottom w:val="101"/>
          <w:divBdr>
            <w:top w:val="none" w:sz="0" w:space="0" w:color="auto"/>
            <w:left w:val="none" w:sz="0" w:space="0" w:color="auto"/>
            <w:bottom w:val="none" w:sz="0" w:space="0" w:color="auto"/>
            <w:right w:val="none" w:sz="0" w:space="0" w:color="auto"/>
          </w:divBdr>
        </w:div>
        <w:div w:id="813565606">
          <w:marLeft w:val="0"/>
          <w:marRight w:val="0"/>
          <w:marTop w:val="0"/>
          <w:marBottom w:val="101"/>
          <w:divBdr>
            <w:top w:val="none" w:sz="0" w:space="0" w:color="auto"/>
            <w:left w:val="none" w:sz="0" w:space="0" w:color="auto"/>
            <w:bottom w:val="single" w:sz="6" w:space="0" w:color="000000"/>
            <w:right w:val="none" w:sz="0" w:space="0" w:color="auto"/>
          </w:divBdr>
        </w:div>
        <w:div w:id="290407852">
          <w:marLeft w:val="900"/>
          <w:marRight w:val="0"/>
          <w:marTop w:val="0"/>
          <w:marBottom w:val="101"/>
          <w:divBdr>
            <w:top w:val="none" w:sz="0" w:space="0" w:color="auto"/>
            <w:left w:val="none" w:sz="0" w:space="0" w:color="auto"/>
            <w:bottom w:val="none" w:sz="0" w:space="0" w:color="auto"/>
            <w:right w:val="none" w:sz="0" w:space="0" w:color="auto"/>
          </w:divBdr>
        </w:div>
        <w:div w:id="1978755638">
          <w:marLeft w:val="1260"/>
          <w:marRight w:val="0"/>
          <w:marTop w:val="0"/>
          <w:marBottom w:val="101"/>
          <w:divBdr>
            <w:top w:val="none" w:sz="0" w:space="0" w:color="auto"/>
            <w:left w:val="none" w:sz="0" w:space="0" w:color="auto"/>
            <w:bottom w:val="none" w:sz="0" w:space="0" w:color="auto"/>
            <w:right w:val="none" w:sz="0" w:space="0" w:color="auto"/>
          </w:divBdr>
        </w:div>
        <w:div w:id="953093130">
          <w:marLeft w:val="1260"/>
          <w:marRight w:val="0"/>
          <w:marTop w:val="0"/>
          <w:marBottom w:val="101"/>
          <w:divBdr>
            <w:top w:val="none" w:sz="0" w:space="0" w:color="auto"/>
            <w:left w:val="none" w:sz="0" w:space="0" w:color="auto"/>
            <w:bottom w:val="none" w:sz="0" w:space="0" w:color="auto"/>
            <w:right w:val="none" w:sz="0" w:space="0" w:color="auto"/>
          </w:divBdr>
        </w:div>
        <w:div w:id="1777171097">
          <w:marLeft w:val="1260"/>
          <w:marRight w:val="0"/>
          <w:marTop w:val="0"/>
          <w:marBottom w:val="101"/>
          <w:divBdr>
            <w:top w:val="none" w:sz="0" w:space="0" w:color="auto"/>
            <w:left w:val="none" w:sz="0" w:space="0" w:color="auto"/>
            <w:bottom w:val="none" w:sz="0" w:space="0" w:color="auto"/>
            <w:right w:val="none" w:sz="0" w:space="0" w:color="auto"/>
          </w:divBdr>
        </w:div>
        <w:div w:id="1851211569">
          <w:marLeft w:val="1260"/>
          <w:marRight w:val="0"/>
          <w:marTop w:val="0"/>
          <w:marBottom w:val="101"/>
          <w:divBdr>
            <w:top w:val="none" w:sz="0" w:space="0" w:color="auto"/>
            <w:left w:val="none" w:sz="0" w:space="0" w:color="auto"/>
            <w:bottom w:val="none" w:sz="0" w:space="0" w:color="auto"/>
            <w:right w:val="none" w:sz="0" w:space="0" w:color="auto"/>
          </w:divBdr>
        </w:div>
        <w:div w:id="1648167913">
          <w:marLeft w:val="1260"/>
          <w:marRight w:val="0"/>
          <w:marTop w:val="0"/>
          <w:marBottom w:val="101"/>
          <w:divBdr>
            <w:top w:val="none" w:sz="0" w:space="0" w:color="auto"/>
            <w:left w:val="none" w:sz="0" w:space="0" w:color="auto"/>
            <w:bottom w:val="none" w:sz="0" w:space="0" w:color="auto"/>
            <w:right w:val="none" w:sz="0" w:space="0" w:color="auto"/>
          </w:divBdr>
        </w:div>
        <w:div w:id="1711875524">
          <w:marLeft w:val="1260"/>
          <w:marRight w:val="0"/>
          <w:marTop w:val="0"/>
          <w:marBottom w:val="101"/>
          <w:divBdr>
            <w:top w:val="none" w:sz="0" w:space="0" w:color="auto"/>
            <w:left w:val="none" w:sz="0" w:space="0" w:color="auto"/>
            <w:bottom w:val="none" w:sz="0" w:space="0" w:color="auto"/>
            <w:right w:val="none" w:sz="0" w:space="0" w:color="auto"/>
          </w:divBdr>
        </w:div>
        <w:div w:id="1867208303">
          <w:marLeft w:val="900"/>
          <w:marRight w:val="0"/>
          <w:marTop w:val="0"/>
          <w:marBottom w:val="101"/>
          <w:divBdr>
            <w:top w:val="none" w:sz="0" w:space="0" w:color="auto"/>
            <w:left w:val="none" w:sz="0" w:space="0" w:color="auto"/>
            <w:bottom w:val="none" w:sz="0" w:space="0" w:color="auto"/>
            <w:right w:val="none" w:sz="0" w:space="0" w:color="auto"/>
          </w:divBdr>
        </w:div>
        <w:div w:id="239605475">
          <w:marLeft w:val="900"/>
          <w:marRight w:val="0"/>
          <w:marTop w:val="0"/>
          <w:marBottom w:val="101"/>
          <w:divBdr>
            <w:top w:val="none" w:sz="0" w:space="0" w:color="auto"/>
            <w:left w:val="none" w:sz="0" w:space="0" w:color="auto"/>
            <w:bottom w:val="none" w:sz="0" w:space="0" w:color="auto"/>
            <w:right w:val="none" w:sz="0" w:space="0" w:color="auto"/>
          </w:divBdr>
        </w:div>
        <w:div w:id="205723863">
          <w:marLeft w:val="1260"/>
          <w:marRight w:val="0"/>
          <w:marTop w:val="0"/>
          <w:marBottom w:val="101"/>
          <w:divBdr>
            <w:top w:val="none" w:sz="0" w:space="0" w:color="auto"/>
            <w:left w:val="none" w:sz="0" w:space="0" w:color="auto"/>
            <w:bottom w:val="none" w:sz="0" w:space="0" w:color="auto"/>
            <w:right w:val="none" w:sz="0" w:space="0" w:color="auto"/>
          </w:divBdr>
        </w:div>
        <w:div w:id="205918898">
          <w:marLeft w:val="1260"/>
          <w:marRight w:val="0"/>
          <w:marTop w:val="0"/>
          <w:marBottom w:val="101"/>
          <w:divBdr>
            <w:top w:val="none" w:sz="0" w:space="0" w:color="auto"/>
            <w:left w:val="none" w:sz="0" w:space="0" w:color="auto"/>
            <w:bottom w:val="none" w:sz="0" w:space="0" w:color="auto"/>
            <w:right w:val="none" w:sz="0" w:space="0" w:color="auto"/>
          </w:divBdr>
        </w:div>
        <w:div w:id="1447384297">
          <w:marLeft w:val="1260"/>
          <w:marRight w:val="0"/>
          <w:marTop w:val="0"/>
          <w:marBottom w:val="101"/>
          <w:divBdr>
            <w:top w:val="none" w:sz="0" w:space="0" w:color="auto"/>
            <w:left w:val="none" w:sz="0" w:space="0" w:color="auto"/>
            <w:bottom w:val="none" w:sz="0" w:space="0" w:color="auto"/>
            <w:right w:val="none" w:sz="0" w:space="0" w:color="auto"/>
          </w:divBdr>
        </w:div>
        <w:div w:id="2115056798">
          <w:marLeft w:val="900"/>
          <w:marRight w:val="0"/>
          <w:marTop w:val="0"/>
          <w:marBottom w:val="101"/>
          <w:divBdr>
            <w:top w:val="none" w:sz="0" w:space="0" w:color="auto"/>
            <w:left w:val="none" w:sz="0" w:space="0" w:color="auto"/>
            <w:bottom w:val="none" w:sz="0" w:space="0" w:color="auto"/>
            <w:right w:val="none" w:sz="0" w:space="0" w:color="auto"/>
          </w:divBdr>
        </w:div>
        <w:div w:id="545602550">
          <w:marLeft w:val="0"/>
          <w:marRight w:val="0"/>
          <w:marTop w:val="0"/>
          <w:marBottom w:val="101"/>
          <w:divBdr>
            <w:top w:val="none" w:sz="0" w:space="0" w:color="auto"/>
            <w:left w:val="none" w:sz="0" w:space="0" w:color="auto"/>
            <w:bottom w:val="none" w:sz="0" w:space="0" w:color="auto"/>
            <w:right w:val="none" w:sz="0" w:space="0" w:color="auto"/>
          </w:divBdr>
        </w:div>
        <w:div w:id="2034914512">
          <w:marLeft w:val="0"/>
          <w:marRight w:val="0"/>
          <w:marTop w:val="0"/>
          <w:marBottom w:val="101"/>
          <w:divBdr>
            <w:top w:val="none" w:sz="0" w:space="0" w:color="auto"/>
            <w:left w:val="none" w:sz="0" w:space="0" w:color="auto"/>
            <w:bottom w:val="single" w:sz="6" w:space="0" w:color="000000"/>
            <w:right w:val="none" w:sz="0" w:space="0" w:color="auto"/>
          </w:divBdr>
        </w:div>
        <w:div w:id="1489977324">
          <w:marLeft w:val="0"/>
          <w:marRight w:val="0"/>
          <w:marTop w:val="0"/>
          <w:marBottom w:val="101"/>
          <w:divBdr>
            <w:top w:val="none" w:sz="0" w:space="0" w:color="auto"/>
            <w:left w:val="none" w:sz="0" w:space="0" w:color="auto"/>
            <w:bottom w:val="single" w:sz="6" w:space="0" w:color="000000"/>
            <w:right w:val="none" w:sz="0" w:space="0" w:color="auto"/>
          </w:divBdr>
        </w:div>
        <w:div w:id="1257398056">
          <w:marLeft w:val="0"/>
          <w:marRight w:val="0"/>
          <w:marTop w:val="0"/>
          <w:marBottom w:val="101"/>
          <w:divBdr>
            <w:top w:val="none" w:sz="0" w:space="0" w:color="auto"/>
            <w:left w:val="none" w:sz="0" w:space="0" w:color="auto"/>
            <w:bottom w:val="single" w:sz="6" w:space="0" w:color="000000"/>
            <w:right w:val="none" w:sz="0" w:space="0" w:color="auto"/>
          </w:divBdr>
        </w:div>
        <w:div w:id="331756637">
          <w:marLeft w:val="900"/>
          <w:marRight w:val="0"/>
          <w:marTop w:val="0"/>
          <w:marBottom w:val="101"/>
          <w:divBdr>
            <w:top w:val="none" w:sz="0" w:space="0" w:color="auto"/>
            <w:left w:val="none" w:sz="0" w:space="0" w:color="auto"/>
            <w:bottom w:val="none" w:sz="0" w:space="0" w:color="auto"/>
            <w:right w:val="none" w:sz="0" w:space="0" w:color="auto"/>
          </w:divBdr>
        </w:div>
        <w:div w:id="1824158290">
          <w:marLeft w:val="907"/>
          <w:marRight w:val="0"/>
          <w:marTop w:val="0"/>
          <w:marBottom w:val="101"/>
          <w:divBdr>
            <w:top w:val="none" w:sz="0" w:space="0" w:color="auto"/>
            <w:left w:val="none" w:sz="0" w:space="0" w:color="auto"/>
            <w:bottom w:val="none" w:sz="0" w:space="0" w:color="auto"/>
            <w:right w:val="none" w:sz="0" w:space="0" w:color="auto"/>
          </w:divBdr>
        </w:div>
        <w:div w:id="1460680684">
          <w:marLeft w:val="907"/>
          <w:marRight w:val="0"/>
          <w:marTop w:val="0"/>
          <w:marBottom w:val="101"/>
          <w:divBdr>
            <w:top w:val="none" w:sz="0" w:space="0" w:color="auto"/>
            <w:left w:val="none" w:sz="0" w:space="0" w:color="auto"/>
            <w:bottom w:val="none" w:sz="0" w:space="0" w:color="auto"/>
            <w:right w:val="none" w:sz="0" w:space="0" w:color="auto"/>
          </w:divBdr>
        </w:div>
        <w:div w:id="2026588052">
          <w:marLeft w:val="907"/>
          <w:marRight w:val="0"/>
          <w:marTop w:val="0"/>
          <w:marBottom w:val="101"/>
          <w:divBdr>
            <w:top w:val="none" w:sz="0" w:space="0" w:color="auto"/>
            <w:left w:val="none" w:sz="0" w:space="0" w:color="auto"/>
            <w:bottom w:val="none" w:sz="0" w:space="0" w:color="auto"/>
            <w:right w:val="none" w:sz="0" w:space="0" w:color="auto"/>
          </w:divBdr>
        </w:div>
        <w:div w:id="446395419">
          <w:marLeft w:val="907"/>
          <w:marRight w:val="0"/>
          <w:marTop w:val="0"/>
          <w:marBottom w:val="101"/>
          <w:divBdr>
            <w:top w:val="none" w:sz="0" w:space="0" w:color="auto"/>
            <w:left w:val="none" w:sz="0" w:space="0" w:color="auto"/>
            <w:bottom w:val="none" w:sz="0" w:space="0" w:color="auto"/>
            <w:right w:val="none" w:sz="0" w:space="0" w:color="auto"/>
          </w:divBdr>
        </w:div>
        <w:div w:id="1622541175">
          <w:marLeft w:val="907"/>
          <w:marRight w:val="0"/>
          <w:marTop w:val="0"/>
          <w:marBottom w:val="101"/>
          <w:divBdr>
            <w:top w:val="none" w:sz="0" w:space="0" w:color="auto"/>
            <w:left w:val="none" w:sz="0" w:space="0" w:color="auto"/>
            <w:bottom w:val="none" w:sz="0" w:space="0" w:color="auto"/>
            <w:right w:val="none" w:sz="0" w:space="0" w:color="auto"/>
          </w:divBdr>
        </w:div>
        <w:div w:id="65954580">
          <w:marLeft w:val="907"/>
          <w:marRight w:val="0"/>
          <w:marTop w:val="0"/>
          <w:marBottom w:val="101"/>
          <w:divBdr>
            <w:top w:val="none" w:sz="0" w:space="0" w:color="auto"/>
            <w:left w:val="none" w:sz="0" w:space="0" w:color="auto"/>
            <w:bottom w:val="none" w:sz="0" w:space="0" w:color="auto"/>
            <w:right w:val="none" w:sz="0" w:space="0" w:color="auto"/>
          </w:divBdr>
        </w:div>
        <w:div w:id="191723638">
          <w:marLeft w:val="907"/>
          <w:marRight w:val="0"/>
          <w:marTop w:val="0"/>
          <w:marBottom w:val="101"/>
          <w:divBdr>
            <w:top w:val="none" w:sz="0" w:space="0" w:color="auto"/>
            <w:left w:val="none" w:sz="0" w:space="0" w:color="auto"/>
            <w:bottom w:val="none" w:sz="0" w:space="0" w:color="auto"/>
            <w:right w:val="none" w:sz="0" w:space="0" w:color="auto"/>
          </w:divBdr>
        </w:div>
        <w:div w:id="1895196014">
          <w:marLeft w:val="907"/>
          <w:marRight w:val="0"/>
          <w:marTop w:val="0"/>
          <w:marBottom w:val="101"/>
          <w:divBdr>
            <w:top w:val="none" w:sz="0" w:space="0" w:color="auto"/>
            <w:left w:val="none" w:sz="0" w:space="0" w:color="auto"/>
            <w:bottom w:val="none" w:sz="0" w:space="0" w:color="auto"/>
            <w:right w:val="none" w:sz="0" w:space="0" w:color="auto"/>
          </w:divBdr>
        </w:div>
        <w:div w:id="1327513336">
          <w:marLeft w:val="907"/>
          <w:marRight w:val="0"/>
          <w:marTop w:val="0"/>
          <w:marBottom w:val="101"/>
          <w:divBdr>
            <w:top w:val="none" w:sz="0" w:space="0" w:color="auto"/>
            <w:left w:val="none" w:sz="0" w:space="0" w:color="auto"/>
            <w:bottom w:val="none" w:sz="0" w:space="0" w:color="auto"/>
            <w:right w:val="none" w:sz="0" w:space="0" w:color="auto"/>
          </w:divBdr>
        </w:div>
        <w:div w:id="1516531395">
          <w:marLeft w:val="907"/>
          <w:marRight w:val="0"/>
          <w:marTop w:val="0"/>
          <w:marBottom w:val="101"/>
          <w:divBdr>
            <w:top w:val="none" w:sz="0" w:space="0" w:color="auto"/>
            <w:left w:val="none" w:sz="0" w:space="0" w:color="auto"/>
            <w:bottom w:val="none" w:sz="0" w:space="0" w:color="auto"/>
            <w:right w:val="none" w:sz="0" w:space="0" w:color="auto"/>
          </w:divBdr>
        </w:div>
        <w:div w:id="1639383928">
          <w:marLeft w:val="900"/>
          <w:marRight w:val="0"/>
          <w:marTop w:val="0"/>
          <w:marBottom w:val="101"/>
          <w:divBdr>
            <w:top w:val="none" w:sz="0" w:space="0" w:color="auto"/>
            <w:left w:val="none" w:sz="0" w:space="0" w:color="auto"/>
            <w:bottom w:val="none" w:sz="0" w:space="0" w:color="auto"/>
            <w:right w:val="none" w:sz="0" w:space="0" w:color="auto"/>
          </w:divBdr>
        </w:div>
        <w:div w:id="724645811">
          <w:marLeft w:val="1260"/>
          <w:marRight w:val="0"/>
          <w:marTop w:val="0"/>
          <w:marBottom w:val="101"/>
          <w:divBdr>
            <w:top w:val="none" w:sz="0" w:space="0" w:color="auto"/>
            <w:left w:val="none" w:sz="0" w:space="0" w:color="auto"/>
            <w:bottom w:val="none" w:sz="0" w:space="0" w:color="auto"/>
            <w:right w:val="none" w:sz="0" w:space="0" w:color="auto"/>
          </w:divBdr>
        </w:div>
        <w:div w:id="1737170479">
          <w:marLeft w:val="1620"/>
          <w:marRight w:val="0"/>
          <w:marTop w:val="0"/>
          <w:marBottom w:val="101"/>
          <w:divBdr>
            <w:top w:val="none" w:sz="0" w:space="0" w:color="auto"/>
            <w:left w:val="none" w:sz="0" w:space="0" w:color="auto"/>
            <w:bottom w:val="none" w:sz="0" w:space="0" w:color="auto"/>
            <w:right w:val="none" w:sz="0" w:space="0" w:color="auto"/>
          </w:divBdr>
        </w:div>
        <w:div w:id="49617928">
          <w:marLeft w:val="1620"/>
          <w:marRight w:val="0"/>
          <w:marTop w:val="0"/>
          <w:marBottom w:val="101"/>
          <w:divBdr>
            <w:top w:val="none" w:sz="0" w:space="0" w:color="auto"/>
            <w:left w:val="none" w:sz="0" w:space="0" w:color="auto"/>
            <w:bottom w:val="none" w:sz="0" w:space="0" w:color="auto"/>
            <w:right w:val="none" w:sz="0" w:space="0" w:color="auto"/>
          </w:divBdr>
        </w:div>
        <w:div w:id="1679306525">
          <w:marLeft w:val="1260"/>
          <w:marRight w:val="0"/>
          <w:marTop w:val="0"/>
          <w:marBottom w:val="101"/>
          <w:divBdr>
            <w:top w:val="none" w:sz="0" w:space="0" w:color="auto"/>
            <w:left w:val="none" w:sz="0" w:space="0" w:color="auto"/>
            <w:bottom w:val="none" w:sz="0" w:space="0" w:color="auto"/>
            <w:right w:val="none" w:sz="0" w:space="0" w:color="auto"/>
          </w:divBdr>
        </w:div>
        <w:div w:id="2067096223">
          <w:marLeft w:val="1620"/>
          <w:marRight w:val="0"/>
          <w:marTop w:val="0"/>
          <w:marBottom w:val="101"/>
          <w:divBdr>
            <w:top w:val="none" w:sz="0" w:space="0" w:color="auto"/>
            <w:left w:val="none" w:sz="0" w:space="0" w:color="auto"/>
            <w:bottom w:val="none" w:sz="0" w:space="0" w:color="auto"/>
            <w:right w:val="none" w:sz="0" w:space="0" w:color="auto"/>
          </w:divBdr>
        </w:div>
        <w:div w:id="95293927">
          <w:marLeft w:val="1620"/>
          <w:marRight w:val="0"/>
          <w:marTop w:val="0"/>
          <w:marBottom w:val="101"/>
          <w:divBdr>
            <w:top w:val="none" w:sz="0" w:space="0" w:color="auto"/>
            <w:left w:val="none" w:sz="0" w:space="0" w:color="auto"/>
            <w:bottom w:val="none" w:sz="0" w:space="0" w:color="auto"/>
            <w:right w:val="none" w:sz="0" w:space="0" w:color="auto"/>
          </w:divBdr>
        </w:div>
        <w:div w:id="1725106898">
          <w:marLeft w:val="900"/>
          <w:marRight w:val="0"/>
          <w:marTop w:val="0"/>
          <w:marBottom w:val="101"/>
          <w:divBdr>
            <w:top w:val="none" w:sz="0" w:space="0" w:color="auto"/>
            <w:left w:val="none" w:sz="0" w:space="0" w:color="auto"/>
            <w:bottom w:val="none" w:sz="0" w:space="0" w:color="auto"/>
            <w:right w:val="none" w:sz="0" w:space="0" w:color="auto"/>
          </w:divBdr>
        </w:div>
        <w:div w:id="476729890">
          <w:marLeft w:val="1260"/>
          <w:marRight w:val="0"/>
          <w:marTop w:val="0"/>
          <w:marBottom w:val="101"/>
          <w:divBdr>
            <w:top w:val="none" w:sz="0" w:space="0" w:color="auto"/>
            <w:left w:val="none" w:sz="0" w:space="0" w:color="auto"/>
            <w:bottom w:val="none" w:sz="0" w:space="0" w:color="auto"/>
            <w:right w:val="none" w:sz="0" w:space="0" w:color="auto"/>
          </w:divBdr>
        </w:div>
        <w:div w:id="2016028410">
          <w:marLeft w:val="1620"/>
          <w:marRight w:val="0"/>
          <w:marTop w:val="0"/>
          <w:marBottom w:val="101"/>
          <w:divBdr>
            <w:top w:val="none" w:sz="0" w:space="0" w:color="auto"/>
            <w:left w:val="none" w:sz="0" w:space="0" w:color="auto"/>
            <w:bottom w:val="none" w:sz="0" w:space="0" w:color="auto"/>
            <w:right w:val="none" w:sz="0" w:space="0" w:color="auto"/>
          </w:divBdr>
        </w:div>
        <w:div w:id="1346439525">
          <w:marLeft w:val="1620"/>
          <w:marRight w:val="0"/>
          <w:marTop w:val="0"/>
          <w:marBottom w:val="101"/>
          <w:divBdr>
            <w:top w:val="none" w:sz="0" w:space="0" w:color="auto"/>
            <w:left w:val="none" w:sz="0" w:space="0" w:color="auto"/>
            <w:bottom w:val="none" w:sz="0" w:space="0" w:color="auto"/>
            <w:right w:val="none" w:sz="0" w:space="0" w:color="auto"/>
          </w:divBdr>
        </w:div>
        <w:div w:id="1980768211">
          <w:marLeft w:val="1620"/>
          <w:marRight w:val="0"/>
          <w:marTop w:val="0"/>
          <w:marBottom w:val="101"/>
          <w:divBdr>
            <w:top w:val="none" w:sz="0" w:space="0" w:color="auto"/>
            <w:left w:val="none" w:sz="0" w:space="0" w:color="auto"/>
            <w:bottom w:val="none" w:sz="0" w:space="0" w:color="auto"/>
            <w:right w:val="none" w:sz="0" w:space="0" w:color="auto"/>
          </w:divBdr>
        </w:div>
        <w:div w:id="2105612338">
          <w:marLeft w:val="1260"/>
          <w:marRight w:val="0"/>
          <w:marTop w:val="0"/>
          <w:marBottom w:val="101"/>
          <w:divBdr>
            <w:top w:val="none" w:sz="0" w:space="0" w:color="auto"/>
            <w:left w:val="none" w:sz="0" w:space="0" w:color="auto"/>
            <w:bottom w:val="none" w:sz="0" w:space="0" w:color="auto"/>
            <w:right w:val="none" w:sz="0" w:space="0" w:color="auto"/>
          </w:divBdr>
        </w:div>
        <w:div w:id="1000079672">
          <w:marLeft w:val="1620"/>
          <w:marRight w:val="0"/>
          <w:marTop w:val="0"/>
          <w:marBottom w:val="101"/>
          <w:divBdr>
            <w:top w:val="none" w:sz="0" w:space="0" w:color="auto"/>
            <w:left w:val="none" w:sz="0" w:space="0" w:color="auto"/>
            <w:bottom w:val="none" w:sz="0" w:space="0" w:color="auto"/>
            <w:right w:val="none" w:sz="0" w:space="0" w:color="auto"/>
          </w:divBdr>
        </w:div>
        <w:div w:id="958606876">
          <w:marLeft w:val="1620"/>
          <w:marRight w:val="0"/>
          <w:marTop w:val="0"/>
          <w:marBottom w:val="101"/>
          <w:divBdr>
            <w:top w:val="none" w:sz="0" w:space="0" w:color="auto"/>
            <w:left w:val="none" w:sz="0" w:space="0" w:color="auto"/>
            <w:bottom w:val="none" w:sz="0" w:space="0" w:color="auto"/>
            <w:right w:val="none" w:sz="0" w:space="0" w:color="auto"/>
          </w:divBdr>
        </w:div>
        <w:div w:id="2064088454">
          <w:marLeft w:val="900"/>
          <w:marRight w:val="0"/>
          <w:marTop w:val="0"/>
          <w:marBottom w:val="101"/>
          <w:divBdr>
            <w:top w:val="none" w:sz="0" w:space="0" w:color="auto"/>
            <w:left w:val="none" w:sz="0" w:space="0" w:color="auto"/>
            <w:bottom w:val="none" w:sz="0" w:space="0" w:color="auto"/>
            <w:right w:val="none" w:sz="0" w:space="0" w:color="auto"/>
          </w:divBdr>
        </w:div>
        <w:div w:id="655887541">
          <w:marLeft w:val="900"/>
          <w:marRight w:val="0"/>
          <w:marTop w:val="0"/>
          <w:marBottom w:val="101"/>
          <w:divBdr>
            <w:top w:val="none" w:sz="0" w:space="0" w:color="auto"/>
            <w:left w:val="none" w:sz="0" w:space="0" w:color="auto"/>
            <w:bottom w:val="none" w:sz="0" w:space="0" w:color="auto"/>
            <w:right w:val="none" w:sz="0" w:space="0" w:color="auto"/>
          </w:divBdr>
        </w:div>
        <w:div w:id="422260030">
          <w:marLeft w:val="900"/>
          <w:marRight w:val="0"/>
          <w:marTop w:val="0"/>
          <w:marBottom w:val="101"/>
          <w:divBdr>
            <w:top w:val="none" w:sz="0" w:space="0" w:color="auto"/>
            <w:left w:val="none" w:sz="0" w:space="0" w:color="auto"/>
            <w:bottom w:val="none" w:sz="0" w:space="0" w:color="auto"/>
            <w:right w:val="none" w:sz="0" w:space="0" w:color="auto"/>
          </w:divBdr>
        </w:div>
        <w:div w:id="1043411378">
          <w:marLeft w:val="0"/>
          <w:marRight w:val="0"/>
          <w:marTop w:val="0"/>
          <w:marBottom w:val="101"/>
          <w:divBdr>
            <w:top w:val="none" w:sz="0" w:space="0" w:color="auto"/>
            <w:left w:val="none" w:sz="0" w:space="0" w:color="auto"/>
            <w:bottom w:val="single" w:sz="6" w:space="0" w:color="000000"/>
            <w:right w:val="none" w:sz="0" w:space="0" w:color="auto"/>
          </w:divBdr>
        </w:div>
        <w:div w:id="397676012">
          <w:marLeft w:val="0"/>
          <w:marRight w:val="0"/>
          <w:marTop w:val="0"/>
          <w:marBottom w:val="101"/>
          <w:divBdr>
            <w:top w:val="none" w:sz="0" w:space="0" w:color="auto"/>
            <w:left w:val="none" w:sz="0" w:space="0" w:color="auto"/>
            <w:bottom w:val="single" w:sz="6" w:space="0" w:color="000000"/>
            <w:right w:val="none" w:sz="0" w:space="0" w:color="auto"/>
          </w:divBdr>
        </w:div>
        <w:div w:id="500698814">
          <w:marLeft w:val="0"/>
          <w:marRight w:val="0"/>
          <w:marTop w:val="0"/>
          <w:marBottom w:val="101"/>
          <w:divBdr>
            <w:top w:val="none" w:sz="0" w:space="0" w:color="auto"/>
            <w:left w:val="none" w:sz="0" w:space="0" w:color="auto"/>
            <w:bottom w:val="single" w:sz="6" w:space="0" w:color="000000"/>
            <w:right w:val="none" w:sz="0" w:space="0" w:color="auto"/>
          </w:divBdr>
        </w:div>
        <w:div w:id="476805542">
          <w:marLeft w:val="900"/>
          <w:marRight w:val="0"/>
          <w:marTop w:val="0"/>
          <w:marBottom w:val="101"/>
          <w:divBdr>
            <w:top w:val="none" w:sz="0" w:space="0" w:color="auto"/>
            <w:left w:val="none" w:sz="0" w:space="0" w:color="auto"/>
            <w:bottom w:val="none" w:sz="0" w:space="0" w:color="auto"/>
            <w:right w:val="none" w:sz="0" w:space="0" w:color="auto"/>
          </w:divBdr>
        </w:div>
        <w:div w:id="342519295">
          <w:marLeft w:val="900"/>
          <w:marRight w:val="0"/>
          <w:marTop w:val="0"/>
          <w:marBottom w:val="101"/>
          <w:divBdr>
            <w:top w:val="none" w:sz="0" w:space="0" w:color="auto"/>
            <w:left w:val="none" w:sz="0" w:space="0" w:color="auto"/>
            <w:bottom w:val="none" w:sz="0" w:space="0" w:color="auto"/>
            <w:right w:val="none" w:sz="0" w:space="0" w:color="auto"/>
          </w:divBdr>
        </w:div>
        <w:div w:id="173881089">
          <w:marLeft w:val="900"/>
          <w:marRight w:val="0"/>
          <w:marTop w:val="0"/>
          <w:marBottom w:val="101"/>
          <w:divBdr>
            <w:top w:val="none" w:sz="0" w:space="0" w:color="auto"/>
            <w:left w:val="none" w:sz="0" w:space="0" w:color="auto"/>
            <w:bottom w:val="none" w:sz="0" w:space="0" w:color="auto"/>
            <w:right w:val="none" w:sz="0" w:space="0" w:color="auto"/>
          </w:divBdr>
        </w:div>
        <w:div w:id="810828732">
          <w:marLeft w:val="900"/>
          <w:marRight w:val="0"/>
          <w:marTop w:val="0"/>
          <w:marBottom w:val="101"/>
          <w:divBdr>
            <w:top w:val="none" w:sz="0" w:space="0" w:color="auto"/>
            <w:left w:val="none" w:sz="0" w:space="0" w:color="auto"/>
            <w:bottom w:val="none" w:sz="0" w:space="0" w:color="auto"/>
            <w:right w:val="none" w:sz="0" w:space="0" w:color="auto"/>
          </w:divBdr>
        </w:div>
        <w:div w:id="785928122">
          <w:marLeft w:val="900"/>
          <w:marRight w:val="0"/>
          <w:marTop w:val="0"/>
          <w:marBottom w:val="101"/>
          <w:divBdr>
            <w:top w:val="none" w:sz="0" w:space="0" w:color="auto"/>
            <w:left w:val="none" w:sz="0" w:space="0" w:color="auto"/>
            <w:bottom w:val="none" w:sz="0" w:space="0" w:color="auto"/>
            <w:right w:val="none" w:sz="0" w:space="0" w:color="auto"/>
          </w:divBdr>
        </w:div>
        <w:div w:id="868757006">
          <w:marLeft w:val="900"/>
          <w:marRight w:val="0"/>
          <w:marTop w:val="0"/>
          <w:marBottom w:val="101"/>
          <w:divBdr>
            <w:top w:val="none" w:sz="0" w:space="0" w:color="auto"/>
            <w:left w:val="none" w:sz="0" w:space="0" w:color="auto"/>
            <w:bottom w:val="none" w:sz="0" w:space="0" w:color="auto"/>
            <w:right w:val="none" w:sz="0" w:space="0" w:color="auto"/>
          </w:divBdr>
        </w:div>
        <w:div w:id="1441340695">
          <w:marLeft w:val="900"/>
          <w:marRight w:val="0"/>
          <w:marTop w:val="0"/>
          <w:marBottom w:val="101"/>
          <w:divBdr>
            <w:top w:val="none" w:sz="0" w:space="0" w:color="auto"/>
            <w:left w:val="none" w:sz="0" w:space="0" w:color="auto"/>
            <w:bottom w:val="none" w:sz="0" w:space="0" w:color="auto"/>
            <w:right w:val="none" w:sz="0" w:space="0" w:color="auto"/>
          </w:divBdr>
        </w:div>
        <w:div w:id="211357095">
          <w:marLeft w:val="900"/>
          <w:marRight w:val="0"/>
          <w:marTop w:val="0"/>
          <w:marBottom w:val="101"/>
          <w:divBdr>
            <w:top w:val="none" w:sz="0" w:space="0" w:color="auto"/>
            <w:left w:val="none" w:sz="0" w:space="0" w:color="auto"/>
            <w:bottom w:val="none" w:sz="0" w:space="0" w:color="auto"/>
            <w:right w:val="none" w:sz="0" w:space="0" w:color="auto"/>
          </w:divBdr>
        </w:div>
        <w:div w:id="1436098551">
          <w:marLeft w:val="900"/>
          <w:marRight w:val="0"/>
          <w:marTop w:val="0"/>
          <w:marBottom w:val="101"/>
          <w:divBdr>
            <w:top w:val="none" w:sz="0" w:space="0" w:color="auto"/>
            <w:left w:val="none" w:sz="0" w:space="0" w:color="auto"/>
            <w:bottom w:val="none" w:sz="0" w:space="0" w:color="auto"/>
            <w:right w:val="none" w:sz="0" w:space="0" w:color="auto"/>
          </w:divBdr>
        </w:div>
        <w:div w:id="1526747723">
          <w:marLeft w:val="0"/>
          <w:marRight w:val="0"/>
          <w:marTop w:val="0"/>
          <w:marBottom w:val="101"/>
          <w:divBdr>
            <w:top w:val="none" w:sz="0" w:space="0" w:color="auto"/>
            <w:left w:val="none" w:sz="0" w:space="0" w:color="auto"/>
            <w:bottom w:val="none" w:sz="0" w:space="0" w:color="auto"/>
            <w:right w:val="none" w:sz="0" w:space="0" w:color="auto"/>
          </w:divBdr>
        </w:div>
        <w:div w:id="417869220">
          <w:marLeft w:val="0"/>
          <w:marRight w:val="0"/>
          <w:marTop w:val="0"/>
          <w:marBottom w:val="101"/>
          <w:divBdr>
            <w:top w:val="none" w:sz="0" w:space="0" w:color="auto"/>
            <w:left w:val="none" w:sz="0" w:space="0" w:color="auto"/>
            <w:bottom w:val="none" w:sz="0" w:space="0" w:color="auto"/>
            <w:right w:val="none" w:sz="0" w:space="0" w:color="auto"/>
          </w:divBdr>
        </w:div>
        <w:div w:id="306204301">
          <w:marLeft w:val="0"/>
          <w:marRight w:val="0"/>
          <w:marTop w:val="0"/>
          <w:marBottom w:val="101"/>
          <w:divBdr>
            <w:top w:val="none" w:sz="0" w:space="0" w:color="auto"/>
            <w:left w:val="none" w:sz="0" w:space="0" w:color="auto"/>
            <w:bottom w:val="single" w:sz="6" w:space="0" w:color="000000"/>
            <w:right w:val="none" w:sz="0" w:space="0" w:color="auto"/>
          </w:divBdr>
        </w:div>
        <w:div w:id="265112392">
          <w:marLeft w:val="900"/>
          <w:marRight w:val="0"/>
          <w:marTop w:val="0"/>
          <w:marBottom w:val="101"/>
          <w:divBdr>
            <w:top w:val="none" w:sz="0" w:space="0" w:color="auto"/>
            <w:left w:val="none" w:sz="0" w:space="0" w:color="auto"/>
            <w:bottom w:val="none" w:sz="0" w:space="0" w:color="auto"/>
            <w:right w:val="none" w:sz="0" w:space="0" w:color="auto"/>
          </w:divBdr>
        </w:div>
        <w:div w:id="497307752">
          <w:marLeft w:val="1260"/>
          <w:marRight w:val="0"/>
          <w:marTop w:val="0"/>
          <w:marBottom w:val="101"/>
          <w:divBdr>
            <w:top w:val="none" w:sz="0" w:space="0" w:color="auto"/>
            <w:left w:val="none" w:sz="0" w:space="0" w:color="auto"/>
            <w:bottom w:val="none" w:sz="0" w:space="0" w:color="auto"/>
            <w:right w:val="none" w:sz="0" w:space="0" w:color="auto"/>
          </w:divBdr>
        </w:div>
        <w:div w:id="1423069165">
          <w:marLeft w:val="1260"/>
          <w:marRight w:val="0"/>
          <w:marTop w:val="0"/>
          <w:marBottom w:val="101"/>
          <w:divBdr>
            <w:top w:val="none" w:sz="0" w:space="0" w:color="auto"/>
            <w:left w:val="none" w:sz="0" w:space="0" w:color="auto"/>
            <w:bottom w:val="none" w:sz="0" w:space="0" w:color="auto"/>
            <w:right w:val="none" w:sz="0" w:space="0" w:color="auto"/>
          </w:divBdr>
        </w:div>
        <w:div w:id="1715350230">
          <w:marLeft w:val="1260"/>
          <w:marRight w:val="0"/>
          <w:marTop w:val="0"/>
          <w:marBottom w:val="101"/>
          <w:divBdr>
            <w:top w:val="none" w:sz="0" w:space="0" w:color="auto"/>
            <w:left w:val="none" w:sz="0" w:space="0" w:color="auto"/>
            <w:bottom w:val="none" w:sz="0" w:space="0" w:color="auto"/>
            <w:right w:val="none" w:sz="0" w:space="0" w:color="auto"/>
          </w:divBdr>
        </w:div>
        <w:div w:id="1686058818">
          <w:marLeft w:val="1260"/>
          <w:marRight w:val="0"/>
          <w:marTop w:val="0"/>
          <w:marBottom w:val="101"/>
          <w:divBdr>
            <w:top w:val="none" w:sz="0" w:space="0" w:color="auto"/>
            <w:left w:val="none" w:sz="0" w:space="0" w:color="auto"/>
            <w:bottom w:val="none" w:sz="0" w:space="0" w:color="auto"/>
            <w:right w:val="none" w:sz="0" w:space="0" w:color="auto"/>
          </w:divBdr>
        </w:div>
        <w:div w:id="111480154">
          <w:marLeft w:val="0"/>
          <w:marRight w:val="0"/>
          <w:marTop w:val="0"/>
          <w:marBottom w:val="101"/>
          <w:divBdr>
            <w:top w:val="none" w:sz="0" w:space="0" w:color="auto"/>
            <w:left w:val="none" w:sz="0" w:space="0" w:color="auto"/>
            <w:bottom w:val="single" w:sz="6" w:space="0" w:color="000000"/>
            <w:right w:val="none" w:sz="0" w:space="0" w:color="auto"/>
          </w:divBdr>
        </w:div>
        <w:div w:id="1230387029">
          <w:marLeft w:val="900"/>
          <w:marRight w:val="0"/>
          <w:marTop w:val="0"/>
          <w:marBottom w:val="101"/>
          <w:divBdr>
            <w:top w:val="none" w:sz="0" w:space="0" w:color="auto"/>
            <w:left w:val="none" w:sz="0" w:space="0" w:color="auto"/>
            <w:bottom w:val="none" w:sz="0" w:space="0" w:color="auto"/>
            <w:right w:val="none" w:sz="0" w:space="0" w:color="auto"/>
          </w:divBdr>
        </w:div>
        <w:div w:id="1301030827">
          <w:marLeft w:val="900"/>
          <w:marRight w:val="0"/>
          <w:marTop w:val="0"/>
          <w:marBottom w:val="101"/>
          <w:divBdr>
            <w:top w:val="none" w:sz="0" w:space="0" w:color="auto"/>
            <w:left w:val="none" w:sz="0" w:space="0" w:color="auto"/>
            <w:bottom w:val="none" w:sz="0" w:space="0" w:color="auto"/>
            <w:right w:val="none" w:sz="0" w:space="0" w:color="auto"/>
          </w:divBdr>
        </w:div>
        <w:div w:id="1743408579">
          <w:marLeft w:val="900"/>
          <w:marRight w:val="0"/>
          <w:marTop w:val="0"/>
          <w:marBottom w:val="101"/>
          <w:divBdr>
            <w:top w:val="none" w:sz="0" w:space="0" w:color="auto"/>
            <w:left w:val="none" w:sz="0" w:space="0" w:color="auto"/>
            <w:bottom w:val="none" w:sz="0" w:space="0" w:color="auto"/>
            <w:right w:val="none" w:sz="0" w:space="0" w:color="auto"/>
          </w:divBdr>
        </w:div>
        <w:div w:id="1439761059">
          <w:marLeft w:val="900"/>
          <w:marRight w:val="0"/>
          <w:marTop w:val="0"/>
          <w:marBottom w:val="101"/>
          <w:divBdr>
            <w:top w:val="none" w:sz="0" w:space="0" w:color="auto"/>
            <w:left w:val="none" w:sz="0" w:space="0" w:color="auto"/>
            <w:bottom w:val="none" w:sz="0" w:space="0" w:color="auto"/>
            <w:right w:val="none" w:sz="0" w:space="0" w:color="auto"/>
          </w:divBdr>
        </w:div>
        <w:div w:id="1091974368">
          <w:marLeft w:val="900"/>
          <w:marRight w:val="0"/>
          <w:marTop w:val="0"/>
          <w:marBottom w:val="101"/>
          <w:divBdr>
            <w:top w:val="none" w:sz="0" w:space="0" w:color="auto"/>
            <w:left w:val="none" w:sz="0" w:space="0" w:color="auto"/>
            <w:bottom w:val="none" w:sz="0" w:space="0" w:color="auto"/>
            <w:right w:val="none" w:sz="0" w:space="0" w:color="auto"/>
          </w:divBdr>
        </w:div>
        <w:div w:id="302272587">
          <w:marLeft w:val="0"/>
          <w:marRight w:val="0"/>
          <w:marTop w:val="0"/>
          <w:marBottom w:val="101"/>
          <w:divBdr>
            <w:top w:val="none" w:sz="0" w:space="0" w:color="auto"/>
            <w:left w:val="none" w:sz="0" w:space="0" w:color="auto"/>
            <w:bottom w:val="none" w:sz="0" w:space="0" w:color="auto"/>
            <w:right w:val="none" w:sz="0" w:space="0" w:color="auto"/>
          </w:divBdr>
        </w:div>
        <w:div w:id="1802771453">
          <w:marLeft w:val="0"/>
          <w:marRight w:val="0"/>
          <w:marTop w:val="0"/>
          <w:marBottom w:val="101"/>
          <w:divBdr>
            <w:top w:val="none" w:sz="0" w:space="0" w:color="auto"/>
            <w:left w:val="none" w:sz="0" w:space="0" w:color="auto"/>
            <w:bottom w:val="none" w:sz="0" w:space="0" w:color="auto"/>
            <w:right w:val="none" w:sz="0" w:space="0" w:color="auto"/>
          </w:divBdr>
        </w:div>
        <w:div w:id="1175849733">
          <w:marLeft w:val="0"/>
          <w:marRight w:val="0"/>
          <w:marTop w:val="0"/>
          <w:marBottom w:val="101"/>
          <w:divBdr>
            <w:top w:val="none" w:sz="0" w:space="0" w:color="auto"/>
            <w:left w:val="none" w:sz="0" w:space="0" w:color="auto"/>
            <w:bottom w:val="none" w:sz="0" w:space="0" w:color="auto"/>
            <w:right w:val="none" w:sz="0" w:space="0" w:color="auto"/>
          </w:divBdr>
        </w:div>
        <w:div w:id="1456026731">
          <w:marLeft w:val="0"/>
          <w:marRight w:val="0"/>
          <w:marTop w:val="0"/>
          <w:marBottom w:val="101"/>
          <w:divBdr>
            <w:top w:val="none" w:sz="0" w:space="0" w:color="auto"/>
            <w:left w:val="none" w:sz="0" w:space="0" w:color="auto"/>
            <w:bottom w:val="none" w:sz="0" w:space="0" w:color="auto"/>
            <w:right w:val="none" w:sz="0" w:space="0" w:color="auto"/>
          </w:divBdr>
        </w:div>
        <w:div w:id="1931616662">
          <w:marLeft w:val="0"/>
          <w:marRight w:val="0"/>
          <w:marTop w:val="0"/>
          <w:marBottom w:val="101"/>
          <w:divBdr>
            <w:top w:val="none" w:sz="0" w:space="0" w:color="auto"/>
            <w:left w:val="none" w:sz="0" w:space="0" w:color="auto"/>
            <w:bottom w:val="none" w:sz="0" w:space="0" w:color="auto"/>
            <w:right w:val="none" w:sz="0" w:space="0" w:color="auto"/>
          </w:divBdr>
        </w:div>
        <w:div w:id="373509644">
          <w:marLeft w:val="0"/>
          <w:marRight w:val="0"/>
          <w:marTop w:val="0"/>
          <w:marBottom w:val="101"/>
          <w:divBdr>
            <w:top w:val="none" w:sz="0" w:space="0" w:color="auto"/>
            <w:left w:val="none" w:sz="0" w:space="0" w:color="auto"/>
            <w:bottom w:val="single" w:sz="6" w:space="0" w:color="000000"/>
            <w:right w:val="none" w:sz="0" w:space="0" w:color="auto"/>
          </w:divBdr>
        </w:div>
        <w:div w:id="1381711573">
          <w:marLeft w:val="0"/>
          <w:marRight w:val="0"/>
          <w:marTop w:val="0"/>
          <w:marBottom w:val="101"/>
          <w:divBdr>
            <w:top w:val="none" w:sz="0" w:space="0" w:color="auto"/>
            <w:left w:val="none" w:sz="0" w:space="0" w:color="auto"/>
            <w:bottom w:val="none" w:sz="0" w:space="0" w:color="auto"/>
            <w:right w:val="none" w:sz="0" w:space="0" w:color="auto"/>
          </w:divBdr>
        </w:div>
        <w:div w:id="281882600">
          <w:marLeft w:val="0"/>
          <w:marRight w:val="0"/>
          <w:marTop w:val="0"/>
          <w:marBottom w:val="101"/>
          <w:divBdr>
            <w:top w:val="none" w:sz="0" w:space="0" w:color="auto"/>
            <w:left w:val="none" w:sz="0" w:space="0" w:color="auto"/>
            <w:bottom w:val="none" w:sz="0" w:space="0" w:color="auto"/>
            <w:right w:val="none" w:sz="0" w:space="0" w:color="auto"/>
          </w:divBdr>
        </w:div>
        <w:div w:id="2025588588">
          <w:marLeft w:val="0"/>
          <w:marRight w:val="0"/>
          <w:marTop w:val="0"/>
          <w:marBottom w:val="101"/>
          <w:divBdr>
            <w:top w:val="none" w:sz="0" w:space="0" w:color="auto"/>
            <w:left w:val="none" w:sz="0" w:space="0" w:color="auto"/>
            <w:bottom w:val="none" w:sz="0" w:space="0" w:color="auto"/>
            <w:right w:val="none" w:sz="0" w:space="0" w:color="auto"/>
          </w:divBdr>
        </w:div>
        <w:div w:id="886142439">
          <w:marLeft w:val="0"/>
          <w:marRight w:val="0"/>
          <w:marTop w:val="0"/>
          <w:marBottom w:val="101"/>
          <w:divBdr>
            <w:top w:val="none" w:sz="0" w:space="0" w:color="auto"/>
            <w:left w:val="none" w:sz="0" w:space="0" w:color="auto"/>
            <w:bottom w:val="none" w:sz="0" w:space="0" w:color="auto"/>
            <w:right w:val="none" w:sz="0" w:space="0" w:color="auto"/>
          </w:divBdr>
        </w:div>
        <w:div w:id="1245795435">
          <w:marLeft w:val="0"/>
          <w:marRight w:val="0"/>
          <w:marTop w:val="0"/>
          <w:marBottom w:val="101"/>
          <w:divBdr>
            <w:top w:val="none" w:sz="0" w:space="0" w:color="auto"/>
            <w:left w:val="none" w:sz="0" w:space="0" w:color="auto"/>
            <w:bottom w:val="none" w:sz="0" w:space="0" w:color="auto"/>
            <w:right w:val="none" w:sz="0" w:space="0" w:color="auto"/>
          </w:divBdr>
        </w:div>
        <w:div w:id="1010765822">
          <w:marLeft w:val="720"/>
          <w:marRight w:val="0"/>
          <w:marTop w:val="0"/>
          <w:marBottom w:val="101"/>
          <w:divBdr>
            <w:top w:val="none" w:sz="0" w:space="0" w:color="auto"/>
            <w:left w:val="none" w:sz="0" w:space="0" w:color="auto"/>
            <w:bottom w:val="none" w:sz="0" w:space="0" w:color="auto"/>
            <w:right w:val="none" w:sz="0" w:space="0" w:color="auto"/>
          </w:divBdr>
        </w:div>
        <w:div w:id="259291583">
          <w:marLeft w:val="720"/>
          <w:marRight w:val="0"/>
          <w:marTop w:val="0"/>
          <w:marBottom w:val="101"/>
          <w:divBdr>
            <w:top w:val="none" w:sz="0" w:space="0" w:color="auto"/>
            <w:left w:val="none" w:sz="0" w:space="0" w:color="auto"/>
            <w:bottom w:val="none" w:sz="0" w:space="0" w:color="auto"/>
            <w:right w:val="none" w:sz="0" w:space="0" w:color="auto"/>
          </w:divBdr>
        </w:div>
        <w:div w:id="1228346482">
          <w:marLeft w:val="720"/>
          <w:marRight w:val="0"/>
          <w:marTop w:val="0"/>
          <w:marBottom w:val="101"/>
          <w:divBdr>
            <w:top w:val="none" w:sz="0" w:space="0" w:color="auto"/>
            <w:left w:val="none" w:sz="0" w:space="0" w:color="auto"/>
            <w:bottom w:val="none" w:sz="0" w:space="0" w:color="auto"/>
            <w:right w:val="none" w:sz="0" w:space="0" w:color="auto"/>
          </w:divBdr>
        </w:div>
        <w:div w:id="1758673940">
          <w:marLeft w:val="0"/>
          <w:marRight w:val="0"/>
          <w:marTop w:val="0"/>
          <w:marBottom w:val="101"/>
          <w:divBdr>
            <w:top w:val="none" w:sz="0" w:space="0" w:color="auto"/>
            <w:left w:val="none" w:sz="0" w:space="0" w:color="auto"/>
            <w:bottom w:val="none" w:sz="0" w:space="0" w:color="auto"/>
            <w:right w:val="none" w:sz="0" w:space="0" w:color="auto"/>
          </w:divBdr>
        </w:div>
        <w:div w:id="1444691399">
          <w:marLeft w:val="0"/>
          <w:marRight w:val="0"/>
          <w:marTop w:val="0"/>
          <w:marBottom w:val="101"/>
          <w:divBdr>
            <w:top w:val="none" w:sz="0" w:space="0" w:color="auto"/>
            <w:left w:val="none" w:sz="0" w:space="0" w:color="auto"/>
            <w:bottom w:val="none" w:sz="0" w:space="0" w:color="auto"/>
            <w:right w:val="none" w:sz="0" w:space="0" w:color="auto"/>
          </w:divBdr>
        </w:div>
        <w:div w:id="611597613">
          <w:marLeft w:val="0"/>
          <w:marRight w:val="0"/>
          <w:marTop w:val="0"/>
          <w:marBottom w:val="101"/>
          <w:divBdr>
            <w:top w:val="none" w:sz="0" w:space="0" w:color="auto"/>
            <w:left w:val="none" w:sz="0" w:space="0" w:color="auto"/>
            <w:bottom w:val="none" w:sz="0" w:space="0" w:color="auto"/>
            <w:right w:val="none" w:sz="0" w:space="0" w:color="auto"/>
          </w:divBdr>
        </w:div>
        <w:div w:id="16975535">
          <w:marLeft w:val="0"/>
          <w:marRight w:val="0"/>
          <w:marTop w:val="0"/>
          <w:marBottom w:val="101"/>
          <w:divBdr>
            <w:top w:val="none" w:sz="0" w:space="0" w:color="auto"/>
            <w:left w:val="none" w:sz="0" w:space="0" w:color="auto"/>
            <w:bottom w:val="none" w:sz="0" w:space="0" w:color="auto"/>
            <w:right w:val="none" w:sz="0" w:space="0" w:color="auto"/>
          </w:divBdr>
        </w:div>
        <w:div w:id="1854950550">
          <w:marLeft w:val="0"/>
          <w:marRight w:val="0"/>
          <w:marTop w:val="0"/>
          <w:marBottom w:val="101"/>
          <w:divBdr>
            <w:top w:val="none" w:sz="0" w:space="0" w:color="auto"/>
            <w:left w:val="none" w:sz="0" w:space="0" w:color="auto"/>
            <w:bottom w:val="none" w:sz="0" w:space="0" w:color="auto"/>
            <w:right w:val="none" w:sz="0" w:space="0" w:color="auto"/>
          </w:divBdr>
        </w:div>
        <w:div w:id="657464034">
          <w:marLeft w:val="720"/>
          <w:marRight w:val="0"/>
          <w:marTop w:val="0"/>
          <w:marBottom w:val="101"/>
          <w:divBdr>
            <w:top w:val="none" w:sz="0" w:space="0" w:color="auto"/>
            <w:left w:val="none" w:sz="0" w:space="0" w:color="auto"/>
            <w:bottom w:val="none" w:sz="0" w:space="0" w:color="auto"/>
            <w:right w:val="none" w:sz="0" w:space="0" w:color="auto"/>
          </w:divBdr>
        </w:div>
        <w:div w:id="1723020158">
          <w:marLeft w:val="720"/>
          <w:marRight w:val="0"/>
          <w:marTop w:val="0"/>
          <w:marBottom w:val="101"/>
          <w:divBdr>
            <w:top w:val="none" w:sz="0" w:space="0" w:color="auto"/>
            <w:left w:val="none" w:sz="0" w:space="0" w:color="auto"/>
            <w:bottom w:val="none" w:sz="0" w:space="0" w:color="auto"/>
            <w:right w:val="none" w:sz="0" w:space="0" w:color="auto"/>
          </w:divBdr>
        </w:div>
        <w:div w:id="2053535493">
          <w:marLeft w:val="720"/>
          <w:marRight w:val="0"/>
          <w:marTop w:val="0"/>
          <w:marBottom w:val="101"/>
          <w:divBdr>
            <w:top w:val="none" w:sz="0" w:space="0" w:color="auto"/>
            <w:left w:val="none" w:sz="0" w:space="0" w:color="auto"/>
            <w:bottom w:val="none" w:sz="0" w:space="0" w:color="auto"/>
            <w:right w:val="none" w:sz="0" w:space="0" w:color="auto"/>
          </w:divBdr>
        </w:div>
        <w:div w:id="539978223">
          <w:marLeft w:val="0"/>
          <w:marRight w:val="0"/>
          <w:marTop w:val="0"/>
          <w:marBottom w:val="101"/>
          <w:divBdr>
            <w:top w:val="none" w:sz="0" w:space="0" w:color="auto"/>
            <w:left w:val="none" w:sz="0" w:space="0" w:color="auto"/>
            <w:bottom w:val="none" w:sz="0" w:space="0" w:color="auto"/>
            <w:right w:val="none" w:sz="0" w:space="0" w:color="auto"/>
          </w:divBdr>
        </w:div>
        <w:div w:id="378601507">
          <w:marLeft w:val="0"/>
          <w:marRight w:val="0"/>
          <w:marTop w:val="0"/>
          <w:marBottom w:val="101"/>
          <w:divBdr>
            <w:top w:val="none" w:sz="0" w:space="0" w:color="auto"/>
            <w:left w:val="none" w:sz="0" w:space="0" w:color="auto"/>
            <w:bottom w:val="none" w:sz="0" w:space="0" w:color="auto"/>
            <w:right w:val="none" w:sz="0" w:space="0" w:color="auto"/>
          </w:divBdr>
        </w:div>
        <w:div w:id="1161434264">
          <w:marLeft w:val="720"/>
          <w:marRight w:val="0"/>
          <w:marTop w:val="0"/>
          <w:marBottom w:val="101"/>
          <w:divBdr>
            <w:top w:val="none" w:sz="0" w:space="0" w:color="auto"/>
            <w:left w:val="none" w:sz="0" w:space="0" w:color="auto"/>
            <w:bottom w:val="none" w:sz="0" w:space="0" w:color="auto"/>
            <w:right w:val="none" w:sz="0" w:space="0" w:color="auto"/>
          </w:divBdr>
        </w:div>
        <w:div w:id="497576914">
          <w:marLeft w:val="0"/>
          <w:marRight w:val="0"/>
          <w:marTop w:val="0"/>
          <w:marBottom w:val="101"/>
          <w:divBdr>
            <w:top w:val="none" w:sz="0" w:space="0" w:color="auto"/>
            <w:left w:val="none" w:sz="0" w:space="0" w:color="auto"/>
            <w:bottom w:val="none" w:sz="0" w:space="0" w:color="auto"/>
            <w:right w:val="none" w:sz="0" w:space="0" w:color="auto"/>
          </w:divBdr>
        </w:div>
        <w:div w:id="2146391150">
          <w:marLeft w:val="0"/>
          <w:marRight w:val="0"/>
          <w:marTop w:val="0"/>
          <w:marBottom w:val="101"/>
          <w:divBdr>
            <w:top w:val="none" w:sz="0" w:space="0" w:color="auto"/>
            <w:left w:val="none" w:sz="0" w:space="0" w:color="auto"/>
            <w:bottom w:val="none" w:sz="0" w:space="0" w:color="auto"/>
            <w:right w:val="none" w:sz="0" w:space="0" w:color="auto"/>
          </w:divBdr>
        </w:div>
        <w:div w:id="385493906">
          <w:marLeft w:val="0"/>
          <w:marRight w:val="0"/>
          <w:marTop w:val="0"/>
          <w:marBottom w:val="101"/>
          <w:divBdr>
            <w:top w:val="none" w:sz="0" w:space="0" w:color="auto"/>
            <w:left w:val="none" w:sz="0" w:space="0" w:color="auto"/>
            <w:bottom w:val="none" w:sz="0" w:space="0" w:color="auto"/>
            <w:right w:val="none" w:sz="0" w:space="0" w:color="auto"/>
          </w:divBdr>
        </w:div>
        <w:div w:id="338510944">
          <w:marLeft w:val="0"/>
          <w:marRight w:val="0"/>
          <w:marTop w:val="0"/>
          <w:marBottom w:val="101"/>
          <w:divBdr>
            <w:top w:val="none" w:sz="0" w:space="0" w:color="auto"/>
            <w:left w:val="none" w:sz="0" w:space="0" w:color="auto"/>
            <w:bottom w:val="none" w:sz="0" w:space="0" w:color="auto"/>
            <w:right w:val="none" w:sz="0" w:space="0" w:color="auto"/>
          </w:divBdr>
        </w:div>
        <w:div w:id="915439398">
          <w:marLeft w:val="0"/>
          <w:marRight w:val="0"/>
          <w:marTop w:val="0"/>
          <w:marBottom w:val="101"/>
          <w:divBdr>
            <w:top w:val="none" w:sz="0" w:space="0" w:color="auto"/>
            <w:left w:val="none" w:sz="0" w:space="0" w:color="auto"/>
            <w:bottom w:val="none" w:sz="0" w:space="0" w:color="auto"/>
            <w:right w:val="none" w:sz="0" w:space="0" w:color="auto"/>
          </w:divBdr>
        </w:div>
        <w:div w:id="125896925">
          <w:marLeft w:val="720"/>
          <w:marRight w:val="0"/>
          <w:marTop w:val="0"/>
          <w:marBottom w:val="101"/>
          <w:divBdr>
            <w:top w:val="none" w:sz="0" w:space="0" w:color="auto"/>
            <w:left w:val="none" w:sz="0" w:space="0" w:color="auto"/>
            <w:bottom w:val="none" w:sz="0" w:space="0" w:color="auto"/>
            <w:right w:val="none" w:sz="0" w:space="0" w:color="auto"/>
          </w:divBdr>
        </w:div>
        <w:div w:id="276068127">
          <w:marLeft w:val="720"/>
          <w:marRight w:val="0"/>
          <w:marTop w:val="0"/>
          <w:marBottom w:val="101"/>
          <w:divBdr>
            <w:top w:val="none" w:sz="0" w:space="0" w:color="auto"/>
            <w:left w:val="none" w:sz="0" w:space="0" w:color="auto"/>
            <w:bottom w:val="none" w:sz="0" w:space="0" w:color="auto"/>
            <w:right w:val="none" w:sz="0" w:space="0" w:color="auto"/>
          </w:divBdr>
        </w:div>
        <w:div w:id="148636028">
          <w:marLeft w:val="0"/>
          <w:marRight w:val="0"/>
          <w:marTop w:val="0"/>
          <w:marBottom w:val="101"/>
          <w:divBdr>
            <w:top w:val="none" w:sz="0" w:space="0" w:color="auto"/>
            <w:left w:val="none" w:sz="0" w:space="0" w:color="auto"/>
            <w:bottom w:val="none" w:sz="0" w:space="0" w:color="auto"/>
            <w:right w:val="none" w:sz="0" w:space="0" w:color="auto"/>
          </w:divBdr>
        </w:div>
        <w:div w:id="1848324965">
          <w:marLeft w:val="0"/>
          <w:marRight w:val="0"/>
          <w:marTop w:val="0"/>
          <w:marBottom w:val="101"/>
          <w:divBdr>
            <w:top w:val="none" w:sz="0" w:space="0" w:color="auto"/>
            <w:left w:val="none" w:sz="0" w:space="0" w:color="auto"/>
            <w:bottom w:val="none" w:sz="0" w:space="0" w:color="auto"/>
            <w:right w:val="none" w:sz="0" w:space="0" w:color="auto"/>
          </w:divBdr>
        </w:div>
        <w:div w:id="1138298430">
          <w:marLeft w:val="0"/>
          <w:marRight w:val="0"/>
          <w:marTop w:val="0"/>
          <w:marBottom w:val="101"/>
          <w:divBdr>
            <w:top w:val="none" w:sz="0" w:space="0" w:color="auto"/>
            <w:left w:val="none" w:sz="0" w:space="0" w:color="auto"/>
            <w:bottom w:val="none" w:sz="0" w:space="0" w:color="auto"/>
            <w:right w:val="none" w:sz="0" w:space="0" w:color="auto"/>
          </w:divBdr>
        </w:div>
        <w:div w:id="1632249667">
          <w:marLeft w:val="0"/>
          <w:marRight w:val="0"/>
          <w:marTop w:val="0"/>
          <w:marBottom w:val="101"/>
          <w:divBdr>
            <w:top w:val="none" w:sz="0" w:space="0" w:color="auto"/>
            <w:left w:val="none" w:sz="0" w:space="0" w:color="auto"/>
            <w:bottom w:val="none" w:sz="0" w:space="0" w:color="auto"/>
            <w:right w:val="none" w:sz="0" w:space="0" w:color="auto"/>
          </w:divBdr>
        </w:div>
        <w:div w:id="1059792324">
          <w:marLeft w:val="0"/>
          <w:marRight w:val="0"/>
          <w:marTop w:val="0"/>
          <w:marBottom w:val="101"/>
          <w:divBdr>
            <w:top w:val="none" w:sz="0" w:space="0" w:color="auto"/>
            <w:left w:val="none" w:sz="0" w:space="0" w:color="auto"/>
            <w:bottom w:val="none" w:sz="0" w:space="0" w:color="auto"/>
            <w:right w:val="none" w:sz="0" w:space="0" w:color="auto"/>
          </w:divBdr>
        </w:div>
        <w:div w:id="1858886788">
          <w:marLeft w:val="0"/>
          <w:marRight w:val="0"/>
          <w:marTop w:val="0"/>
          <w:marBottom w:val="101"/>
          <w:divBdr>
            <w:top w:val="none" w:sz="0" w:space="0" w:color="auto"/>
            <w:left w:val="none" w:sz="0" w:space="0" w:color="auto"/>
            <w:bottom w:val="none" w:sz="0" w:space="0" w:color="auto"/>
            <w:right w:val="none" w:sz="0" w:space="0" w:color="auto"/>
          </w:divBdr>
        </w:div>
        <w:div w:id="1521436365">
          <w:marLeft w:val="0"/>
          <w:marRight w:val="0"/>
          <w:marTop w:val="0"/>
          <w:marBottom w:val="101"/>
          <w:divBdr>
            <w:top w:val="none" w:sz="0" w:space="0" w:color="auto"/>
            <w:left w:val="none" w:sz="0" w:space="0" w:color="auto"/>
            <w:bottom w:val="none" w:sz="0" w:space="0" w:color="auto"/>
            <w:right w:val="none" w:sz="0" w:space="0" w:color="auto"/>
          </w:divBdr>
        </w:div>
      </w:divsChild>
    </w:div>
    <w:div w:id="1628202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55</Pages>
  <Words>16938</Words>
  <Characters>93159</Characters>
  <Application>Microsoft Office Word</Application>
  <DocSecurity>0</DocSecurity>
  <Lines>776</Lines>
  <Paragraphs>219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Valeria Alejandra Torres Orozco</dc:creator>
  <cp:lastModifiedBy>Valeria Alejandra Torres Orozco</cp:lastModifiedBy>
  <cp:revision>1</cp:revision>
  <dcterms:created xsi:type="dcterms:W3CDTF">2017-12-11T14:13:00Z</dcterms:created>
  <dcterms:modified xsi:type="dcterms:W3CDTF">2017-12-11T14:18:00Z</dcterms:modified>
</cp:coreProperties>
</file>