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72C" w:rsidRPr="00841D9A" w:rsidRDefault="00FD672C" w:rsidP="00FD672C">
      <w:pPr>
        <w:jc w:val="center"/>
        <w:rPr>
          <w:rFonts w:ascii="Verdana" w:eastAsia="Verdana" w:hAnsi="Verdana" w:cs="Verdana"/>
          <w:b/>
          <w:color w:val="0000FF"/>
          <w:sz w:val="24"/>
          <w:szCs w:val="24"/>
        </w:rPr>
      </w:pPr>
      <w:r w:rsidRPr="00FD672C">
        <w:rPr>
          <w:rFonts w:ascii="Verdana" w:eastAsia="Verdana" w:hAnsi="Verdana" w:cs="Verdana"/>
          <w:b/>
          <w:color w:val="0000FF"/>
          <w:sz w:val="24"/>
          <w:szCs w:val="24"/>
        </w:rPr>
        <w:t>ACUERDO por el que se modifica el diverso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Malasia, Nueva Zelanda, Perú y Singapur.</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w:t>
      </w:r>
      <w:r>
        <w:rPr>
          <w:rFonts w:ascii="Verdana" w:eastAsia="Verdana" w:hAnsi="Verdana" w:cs="Verdana"/>
          <w:b/>
          <w:color w:val="0000FF"/>
          <w:sz w:val="24"/>
          <w:szCs w:val="24"/>
        </w:rPr>
        <w:t xml:space="preserve"> de febrero de 2023</w:t>
      </w:r>
      <w:r w:rsidRPr="0099730F">
        <w:rPr>
          <w:rFonts w:ascii="Verdana" w:eastAsia="Verdana" w:hAnsi="Verdana" w:cs="Verdana"/>
          <w:b/>
          <w:color w:val="0000FF"/>
          <w:sz w:val="24"/>
          <w:szCs w:val="24"/>
        </w:rPr>
        <w:t>)</w:t>
      </w:r>
      <w:bookmarkEnd w:id="0"/>
    </w:p>
    <w:p w:rsidR="00216A1B" w:rsidRDefault="00FD672C" w:rsidP="00FD672C">
      <w:pPr>
        <w:jc w:val="both"/>
        <w:rPr>
          <w:rFonts w:ascii="Arial" w:hAnsi="Arial" w:cs="Arial"/>
          <w:b/>
          <w:color w:val="2F2F2F"/>
          <w:sz w:val="18"/>
          <w:szCs w:val="18"/>
          <w:shd w:val="clear" w:color="auto" w:fill="FFFFFF"/>
        </w:rPr>
      </w:pPr>
      <w:r w:rsidRPr="00FD672C">
        <w:rPr>
          <w:rFonts w:ascii="Arial" w:hAnsi="Arial" w:cs="Arial"/>
          <w:b/>
          <w:color w:val="2F2F2F"/>
          <w:sz w:val="18"/>
          <w:szCs w:val="18"/>
          <w:shd w:val="clear" w:color="auto" w:fill="FFFFFF"/>
        </w:rPr>
        <w:t>Al margen un sello con el Escudo Nacional, que dice: Estados Unidos Mexicanos.- ECONOMÍA.- Secretaría de Economía.</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RAQUEL BUENROSTRO SÁNCHEZ, Secretaria de Economía, con fundamento en los artículos 133 de la Constitución Política de los Estados Unidos Mexicanos; 34, fracción XXXIII de la Ley Orgánica de la Administración Pública Federal; 5o., fracción X de la Ley de Comercio Exterior, y 5, fracción XVII del Reglamento Interior de la Secretaría de Economía, y</w:t>
      </w:r>
    </w:p>
    <w:p w:rsidR="00FD672C" w:rsidRPr="00FD672C" w:rsidRDefault="00FD672C" w:rsidP="00FD67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672C">
        <w:rPr>
          <w:rFonts w:ascii="Times" w:eastAsia="Times New Roman" w:hAnsi="Times" w:cs="Times"/>
          <w:b/>
          <w:bCs/>
          <w:color w:val="2F2F2F"/>
          <w:sz w:val="18"/>
          <w:szCs w:val="18"/>
          <w:lang w:eastAsia="es-MX"/>
        </w:rPr>
        <w:t>CONSIDERANDO</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el Tratado Integral y Progresista de Asociación Transpacífico, hecho en Santiago de Chile el 8 de marzo de 2018 (Tratado), fue suscrito por Australia, Brunéi Darussalam, Canadá, República de Chile, Japón, Malasia, los Estados Unidos Mexicanos, Nueva Zelanda, la República del Perú, la República de Singapur y la República Socialista de Vietnam;</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el 29 de noviembre de 2018, se publicó en el Diario Oficial de la Federación (DOF) el decreto </w:t>
      </w:r>
      <w:proofErr w:type="spellStart"/>
      <w:r w:rsidRPr="00FD672C">
        <w:rPr>
          <w:rFonts w:ascii="Arial" w:eastAsia="Times New Roman" w:hAnsi="Arial" w:cs="Arial"/>
          <w:color w:val="2F2F2F"/>
          <w:sz w:val="18"/>
          <w:szCs w:val="18"/>
          <w:lang w:eastAsia="es-MX"/>
        </w:rPr>
        <w:t>promulgatorio</w:t>
      </w:r>
      <w:proofErr w:type="spellEnd"/>
      <w:r w:rsidRPr="00FD672C">
        <w:rPr>
          <w:rFonts w:ascii="Arial" w:eastAsia="Times New Roman" w:hAnsi="Arial" w:cs="Arial"/>
          <w:color w:val="2F2F2F"/>
          <w:sz w:val="18"/>
          <w:szCs w:val="18"/>
          <w:lang w:eastAsia="es-MX"/>
        </w:rPr>
        <w:t xml:space="preserve"> del Tratado, el cual establece que su entrada en vigor es el 30 de diciembre de 2018, lo cual resultó aplicable para Australia, Canadá, los Estados Unidos Mexicanos, Japón, Nueva Zelanda y la República de Singapur en términos del artículo 3 del propio Tratado;</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el 15 de noviembre de 2018, el 21 de julio de 2021 y el 30 de septiembre de 2022, la República Socialista de Vietnam, la República del Perú y Malasia, respectivamente, notificaron al Depositario el cumplimiento de sus procedimientos legales aplicables, por lo que de conformidad con el artículo 3 del Tratado, el mismo entró en vigor en dichos países el 14 de enero de 2019, el 19 de septiembre de 2021 y el 29 de noviembre de 2022, respectivamente;</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el 5 de septiembre de 2022, se publicó en el DOF 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Nueva Zelanda, Perú y Singapur, modificado mediante Acuerdo publicado en el mismo órgano de difusión oficial el 12 de diciembre de 2022;</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mediante acuerdo publicado en el DOF se dio a conocer que el Tratado entró en vigor para la República de Chile el 21 de febrero de 2023;</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el Tratado incorpora el Preámbulo, los Capítulos y Anexos del Tratado de Asociación Transpacífico hecho en Auckland, Nueva Zelanda, el 4 de febrero de 2016;</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el Tratado establece las tasas arancelarias preferenciales para la importación de mercancías originarias de Australia, Brunéi, Canadá, Chile, Japón, Malasia, México, Nueva Zelanda, Perú, Singapur y Vietnam, de conformidad con su Lista de Eliminación Arancelaria establecida en el Anexo 2-D "Compromisos Arancelarios" de dicho instrumento, respectivamente, así como reglas de origen y otros mecanismos específicos para definir tales mercancías;</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Que la desgravación establecida en el Tratado no exime del cumplimiento de las medidas de regulación y restricción no arancelaria, de los requisitos previos de importación impuestos por la Secretaría de Economía o por cualquier otra dependencia en el ámbito de sus facultades, de los requisitos previstos en Normas Oficiales Mexicanas o del trámite del despacho aduanero de mercancías, entre otros, siempre que estén de conformidad con los compromisos internacionales adquiridos por México, y</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 xml:space="preserve">Que resulta necesario dar a conocer a los operadores y a las autoridades aduaneras las condiciones arancelarias y los mecanismos que regirán la importación de las mercancías originarias de la </w:t>
      </w:r>
      <w:r w:rsidRPr="00FD672C">
        <w:rPr>
          <w:rFonts w:ascii="Arial" w:eastAsia="Times New Roman" w:hAnsi="Arial" w:cs="Arial"/>
          <w:color w:val="2F2F2F"/>
          <w:sz w:val="18"/>
          <w:szCs w:val="18"/>
          <w:lang w:eastAsia="es-MX"/>
        </w:rPr>
        <w:lastRenderedPageBreak/>
        <w:t>región conformada por México, Australia, Brunéi, Canadá, Chile, Japón, Malasia, Nueva Zelanda, Perú, Singapur y Vietnam, que corresponden a Chile, se expide el siguiente:</w:t>
      </w:r>
    </w:p>
    <w:p w:rsidR="00FD672C" w:rsidRPr="00FD672C" w:rsidRDefault="00FD672C" w:rsidP="00FD67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672C">
        <w:rPr>
          <w:rFonts w:ascii="Times" w:eastAsia="Times New Roman" w:hAnsi="Times" w:cs="Times"/>
          <w:b/>
          <w:bCs/>
          <w:color w:val="2F2F2F"/>
          <w:sz w:val="18"/>
          <w:szCs w:val="18"/>
          <w:lang w:eastAsia="es-MX"/>
        </w:rPr>
        <w:t>ACUERDO POR EL QUE SE MODIFICA EL DIVERSO POR EL QUE SE DA A CONOCER LA TASA</w:t>
      </w:r>
      <w:r w:rsidRPr="00FD672C">
        <w:rPr>
          <w:rFonts w:ascii="Times New Roman" w:eastAsia="Times New Roman" w:hAnsi="Times New Roman" w:cs="Times New Roman"/>
          <w:b/>
          <w:bCs/>
          <w:color w:val="2F2F2F"/>
          <w:sz w:val="18"/>
          <w:szCs w:val="18"/>
          <w:lang w:eastAsia="es-MX"/>
        </w:rPr>
        <w:br/>
      </w:r>
      <w:r w:rsidRPr="00FD672C">
        <w:rPr>
          <w:rFonts w:ascii="Times" w:eastAsia="Times New Roman" w:hAnsi="Times" w:cs="Times"/>
          <w:b/>
          <w:bCs/>
          <w:color w:val="2F2F2F"/>
          <w:sz w:val="18"/>
          <w:szCs w:val="18"/>
          <w:lang w:eastAsia="es-MX"/>
        </w:rPr>
        <w:t>APLICABLE DEL IMPUESTO GENERAL DE IMPORTACIÓN PARA LAS MERCANCÍAS ORIGINARIAS</w:t>
      </w:r>
      <w:r w:rsidRPr="00FD672C">
        <w:rPr>
          <w:rFonts w:ascii="Times New Roman" w:eastAsia="Times New Roman" w:hAnsi="Times New Roman" w:cs="Times New Roman"/>
          <w:b/>
          <w:bCs/>
          <w:color w:val="2F2F2F"/>
          <w:sz w:val="18"/>
          <w:szCs w:val="18"/>
          <w:lang w:eastAsia="es-MX"/>
        </w:rPr>
        <w:br/>
      </w:r>
      <w:r w:rsidRPr="00FD672C">
        <w:rPr>
          <w:rFonts w:ascii="Times" w:eastAsia="Times New Roman" w:hAnsi="Times" w:cs="Times"/>
          <w:b/>
          <w:bCs/>
          <w:color w:val="2F2F2F"/>
          <w:sz w:val="18"/>
          <w:szCs w:val="18"/>
          <w:lang w:eastAsia="es-MX"/>
        </w:rPr>
        <w:t>DE LA REGIÓN CONFORMADA POR MÉXICO, AUSTRALIA, BRUNÉI, CANADÁ, CHILE, JAPÓN,</w:t>
      </w:r>
      <w:r w:rsidRPr="00FD672C">
        <w:rPr>
          <w:rFonts w:ascii="Times New Roman" w:eastAsia="Times New Roman" w:hAnsi="Times New Roman" w:cs="Times New Roman"/>
          <w:b/>
          <w:bCs/>
          <w:color w:val="2F2F2F"/>
          <w:sz w:val="18"/>
          <w:szCs w:val="18"/>
          <w:lang w:eastAsia="es-MX"/>
        </w:rPr>
        <w:br/>
      </w:r>
      <w:r w:rsidRPr="00FD672C">
        <w:rPr>
          <w:rFonts w:ascii="Times" w:eastAsia="Times New Roman" w:hAnsi="Times" w:cs="Times"/>
          <w:b/>
          <w:bCs/>
          <w:color w:val="2F2F2F"/>
          <w:sz w:val="18"/>
          <w:szCs w:val="18"/>
          <w:lang w:eastAsia="es-MX"/>
        </w:rPr>
        <w:t>MALASIA, NUEVA ZELANDA, PERÚ, SINGAPUR Y VIETNAM, QUE CORRESPONDEN A AUSTRALIA,</w:t>
      </w:r>
      <w:r w:rsidRPr="00FD672C">
        <w:rPr>
          <w:rFonts w:ascii="Times New Roman" w:eastAsia="Times New Roman" w:hAnsi="Times New Roman" w:cs="Times New Roman"/>
          <w:b/>
          <w:bCs/>
          <w:color w:val="2F2F2F"/>
          <w:sz w:val="18"/>
          <w:szCs w:val="18"/>
          <w:lang w:eastAsia="es-MX"/>
        </w:rPr>
        <w:br/>
      </w:r>
      <w:r w:rsidRPr="00FD672C">
        <w:rPr>
          <w:rFonts w:ascii="Times" w:eastAsia="Times New Roman" w:hAnsi="Times" w:cs="Times"/>
          <w:b/>
          <w:bCs/>
          <w:color w:val="2F2F2F"/>
          <w:sz w:val="18"/>
          <w:szCs w:val="18"/>
          <w:lang w:eastAsia="es-MX"/>
        </w:rPr>
        <w:t>CANADÁ, JAPÓN, MALASIA, NUEVA ZELANDA, PERÚ Y SINGAPUR</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ÚNICO.- </w:t>
      </w:r>
      <w:r w:rsidRPr="00FD672C">
        <w:rPr>
          <w:rFonts w:ascii="Arial" w:eastAsia="Times New Roman" w:hAnsi="Arial" w:cs="Arial"/>
          <w:color w:val="2F2F2F"/>
          <w:sz w:val="18"/>
          <w:szCs w:val="18"/>
          <w:lang w:eastAsia="es-MX"/>
        </w:rPr>
        <w:t>Se </w:t>
      </w:r>
      <w:r w:rsidRPr="00FD672C">
        <w:rPr>
          <w:rFonts w:ascii="Arial" w:eastAsia="Times New Roman" w:hAnsi="Arial" w:cs="Arial"/>
          <w:b/>
          <w:bCs/>
          <w:color w:val="2F2F2F"/>
          <w:sz w:val="18"/>
          <w:szCs w:val="18"/>
          <w:lang w:eastAsia="es-MX"/>
        </w:rPr>
        <w:t>reforma la denominación,</w:t>
      </w:r>
      <w:r w:rsidRPr="00FD672C">
        <w:rPr>
          <w:rFonts w:ascii="Arial" w:eastAsia="Times New Roman" w:hAnsi="Arial" w:cs="Arial"/>
          <w:color w:val="2F2F2F"/>
          <w:sz w:val="18"/>
          <w:szCs w:val="18"/>
          <w:lang w:eastAsia="es-MX"/>
        </w:rPr>
        <w:t> el párrafo primero del punto </w:t>
      </w:r>
      <w:r w:rsidRPr="00FD672C">
        <w:rPr>
          <w:rFonts w:ascii="Arial" w:eastAsia="Times New Roman" w:hAnsi="Arial" w:cs="Arial"/>
          <w:b/>
          <w:bCs/>
          <w:color w:val="2F2F2F"/>
          <w:sz w:val="18"/>
          <w:szCs w:val="18"/>
          <w:lang w:eastAsia="es-MX"/>
        </w:rPr>
        <w:t>Primero</w:t>
      </w:r>
      <w:r w:rsidRPr="00FD672C">
        <w:rPr>
          <w:rFonts w:ascii="Arial" w:eastAsia="Times New Roman" w:hAnsi="Arial" w:cs="Arial"/>
          <w:color w:val="2F2F2F"/>
          <w:sz w:val="18"/>
          <w:szCs w:val="18"/>
          <w:lang w:eastAsia="es-MX"/>
        </w:rPr>
        <w:t>, el punto</w:t>
      </w:r>
      <w:r w:rsidRPr="00FD672C">
        <w:rPr>
          <w:rFonts w:ascii="Arial" w:eastAsia="Times New Roman" w:hAnsi="Arial" w:cs="Arial"/>
          <w:b/>
          <w:bCs/>
          <w:color w:val="2F2F2F"/>
          <w:sz w:val="18"/>
          <w:szCs w:val="18"/>
          <w:lang w:eastAsia="es-MX"/>
        </w:rPr>
        <w:t> Tercero</w:t>
      </w:r>
      <w:r w:rsidRPr="00FD672C">
        <w:rPr>
          <w:rFonts w:ascii="Arial" w:eastAsia="Times New Roman" w:hAnsi="Arial" w:cs="Arial"/>
          <w:color w:val="2F2F2F"/>
          <w:sz w:val="18"/>
          <w:szCs w:val="18"/>
          <w:lang w:eastAsia="es-MX"/>
        </w:rPr>
        <w:t>, el párrafo primero del punto </w:t>
      </w:r>
      <w:r w:rsidRPr="00FD672C">
        <w:rPr>
          <w:rFonts w:ascii="Arial" w:eastAsia="Times New Roman" w:hAnsi="Arial" w:cs="Arial"/>
          <w:b/>
          <w:bCs/>
          <w:color w:val="2F2F2F"/>
          <w:sz w:val="18"/>
          <w:szCs w:val="18"/>
          <w:lang w:eastAsia="es-MX"/>
        </w:rPr>
        <w:t>Cuarto</w:t>
      </w:r>
      <w:r w:rsidRPr="00FD672C">
        <w:rPr>
          <w:rFonts w:ascii="Arial" w:eastAsia="Times New Roman" w:hAnsi="Arial" w:cs="Arial"/>
          <w:color w:val="2F2F2F"/>
          <w:sz w:val="18"/>
          <w:szCs w:val="18"/>
          <w:lang w:eastAsia="es-MX"/>
        </w:rPr>
        <w:t>, el punto </w:t>
      </w:r>
      <w:r w:rsidRPr="00FD672C">
        <w:rPr>
          <w:rFonts w:ascii="Arial" w:eastAsia="Times New Roman" w:hAnsi="Arial" w:cs="Arial"/>
          <w:b/>
          <w:bCs/>
          <w:color w:val="2F2F2F"/>
          <w:sz w:val="18"/>
          <w:szCs w:val="18"/>
          <w:lang w:eastAsia="es-MX"/>
        </w:rPr>
        <w:t>Quinto</w:t>
      </w:r>
      <w:r w:rsidRPr="00FD672C">
        <w:rPr>
          <w:rFonts w:ascii="Arial" w:eastAsia="Times New Roman" w:hAnsi="Arial" w:cs="Arial"/>
          <w:color w:val="2F2F2F"/>
          <w:sz w:val="18"/>
          <w:szCs w:val="18"/>
          <w:lang w:eastAsia="es-MX"/>
        </w:rPr>
        <w:t>, el párrafo primero de los puntos </w:t>
      </w:r>
      <w:r w:rsidRPr="00FD672C">
        <w:rPr>
          <w:rFonts w:ascii="Arial" w:eastAsia="Times New Roman" w:hAnsi="Arial" w:cs="Arial"/>
          <w:b/>
          <w:bCs/>
          <w:color w:val="2F2F2F"/>
          <w:sz w:val="18"/>
          <w:szCs w:val="18"/>
          <w:lang w:eastAsia="es-MX"/>
        </w:rPr>
        <w:t>Sexto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Séptimo</w:t>
      </w:r>
      <w:r w:rsidRPr="00FD672C">
        <w:rPr>
          <w:rFonts w:ascii="Arial" w:eastAsia="Times New Roman" w:hAnsi="Arial" w:cs="Arial"/>
          <w:color w:val="2F2F2F"/>
          <w:sz w:val="18"/>
          <w:szCs w:val="18"/>
          <w:lang w:eastAsia="es-MX"/>
        </w:rPr>
        <w:t> y </w:t>
      </w:r>
      <w:r w:rsidRPr="00FD672C">
        <w:rPr>
          <w:rFonts w:ascii="Arial" w:eastAsia="Times New Roman" w:hAnsi="Arial" w:cs="Arial"/>
          <w:b/>
          <w:bCs/>
          <w:color w:val="2F2F2F"/>
          <w:sz w:val="18"/>
          <w:szCs w:val="18"/>
          <w:lang w:eastAsia="es-MX"/>
        </w:rPr>
        <w:t>Octavo</w:t>
      </w:r>
      <w:r w:rsidRPr="00FD672C">
        <w:rPr>
          <w:rFonts w:ascii="Arial" w:eastAsia="Times New Roman" w:hAnsi="Arial" w:cs="Arial"/>
          <w:color w:val="2F2F2F"/>
          <w:sz w:val="18"/>
          <w:szCs w:val="18"/>
          <w:lang w:eastAsia="es-MX"/>
        </w:rPr>
        <w:t>, el punto </w:t>
      </w:r>
      <w:r w:rsidRPr="00FD672C">
        <w:rPr>
          <w:rFonts w:ascii="Arial" w:eastAsia="Times New Roman" w:hAnsi="Arial" w:cs="Arial"/>
          <w:b/>
          <w:bCs/>
          <w:color w:val="2F2F2F"/>
          <w:sz w:val="18"/>
          <w:szCs w:val="18"/>
          <w:lang w:eastAsia="es-MX"/>
        </w:rPr>
        <w:t>Noveno</w:t>
      </w:r>
      <w:r w:rsidRPr="00FD672C">
        <w:rPr>
          <w:rFonts w:ascii="Arial" w:eastAsia="Times New Roman" w:hAnsi="Arial" w:cs="Arial"/>
          <w:color w:val="2F2F2F"/>
          <w:sz w:val="18"/>
          <w:szCs w:val="18"/>
          <w:lang w:eastAsia="es-MX"/>
        </w:rPr>
        <w:t>, el párrafo primero de los puntos</w:t>
      </w:r>
      <w:r w:rsidRPr="00FD672C">
        <w:rPr>
          <w:rFonts w:ascii="Arial" w:eastAsia="Times New Roman" w:hAnsi="Arial" w:cs="Arial"/>
          <w:b/>
          <w:bCs/>
          <w:color w:val="2F2F2F"/>
          <w:sz w:val="18"/>
          <w:szCs w:val="18"/>
          <w:lang w:eastAsia="es-MX"/>
        </w:rPr>
        <w:t> Décimo, Décimo Primero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Décimo Segundo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Décimo Tercero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Décimo Cuarto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Décimo Quinto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Décimo Sexto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Décimo Séptimo</w:t>
      </w:r>
      <w:r w:rsidRPr="00FD672C">
        <w:rPr>
          <w:rFonts w:ascii="Arial" w:eastAsia="Times New Roman" w:hAnsi="Arial" w:cs="Arial"/>
          <w:color w:val="2F2F2F"/>
          <w:sz w:val="18"/>
          <w:szCs w:val="18"/>
          <w:lang w:eastAsia="es-MX"/>
        </w:rPr>
        <w:t>, </w:t>
      </w:r>
      <w:r w:rsidRPr="00FD672C">
        <w:rPr>
          <w:rFonts w:ascii="Arial" w:eastAsia="Times New Roman" w:hAnsi="Arial" w:cs="Arial"/>
          <w:b/>
          <w:bCs/>
          <w:color w:val="2F2F2F"/>
          <w:sz w:val="18"/>
          <w:szCs w:val="18"/>
          <w:lang w:eastAsia="es-MX"/>
        </w:rPr>
        <w:t>Vigésimo Primero </w:t>
      </w:r>
      <w:r w:rsidRPr="00FD672C">
        <w:rPr>
          <w:rFonts w:ascii="Arial" w:eastAsia="Times New Roman" w:hAnsi="Arial" w:cs="Arial"/>
          <w:color w:val="2F2F2F"/>
          <w:sz w:val="18"/>
          <w:szCs w:val="18"/>
          <w:lang w:eastAsia="es-MX"/>
        </w:rPr>
        <w:t>y</w:t>
      </w:r>
      <w:r w:rsidRPr="00FD672C">
        <w:rPr>
          <w:rFonts w:ascii="Arial" w:eastAsia="Times New Roman" w:hAnsi="Arial" w:cs="Arial"/>
          <w:b/>
          <w:bCs/>
          <w:color w:val="2F2F2F"/>
          <w:sz w:val="18"/>
          <w:szCs w:val="18"/>
          <w:lang w:eastAsia="es-MX"/>
        </w:rPr>
        <w:t> Vigésimo Séptimo</w:t>
      </w:r>
      <w:r w:rsidRPr="00FD672C">
        <w:rPr>
          <w:rFonts w:ascii="Arial" w:eastAsia="Times New Roman" w:hAnsi="Arial" w:cs="Arial"/>
          <w:color w:val="2F2F2F"/>
          <w:sz w:val="18"/>
          <w:szCs w:val="18"/>
          <w:lang w:eastAsia="es-MX"/>
        </w:rPr>
        <w:t>, del Acuerdo por el que se da a conocer la Tasa Aplicable del Impuesto General de Importación para las mercancías originarias de la región conformada por México, Australia, Brunéi, Canadá, Chile, Japón, Malasia, Nueva Zelanda, Perú, Singapur y Vietnam, que corresponden a Australia, Canadá, Japón, Malasia, Nueva Zelanda, Perú y Singapur, publicado en el Diario Oficial de la Federación el 5 de septiembre de 2022 y sus posteriores modificaciones, para quedar como sigue:</w:t>
      </w:r>
    </w:p>
    <w:p w:rsidR="00FD672C" w:rsidRPr="00FD672C" w:rsidRDefault="00FD672C" w:rsidP="00FD672C">
      <w:pPr>
        <w:shd w:val="clear" w:color="auto" w:fill="FFFFFF"/>
        <w:spacing w:after="101" w:line="240" w:lineRule="auto"/>
        <w:jc w:val="center"/>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"ACUERDO POR EL QUE SE DA A CONOCER LA TASA APLICABLE DEL IMPUESTO GENERAL DE</w:t>
      </w:r>
      <w:r w:rsidRPr="00FD672C">
        <w:rPr>
          <w:rFonts w:ascii="Arial" w:eastAsia="Times New Roman" w:hAnsi="Arial" w:cs="Arial"/>
          <w:color w:val="2F2F2F"/>
          <w:sz w:val="18"/>
          <w:szCs w:val="18"/>
          <w:lang w:eastAsia="es-MX"/>
        </w:rPr>
        <w:br/>
      </w:r>
      <w:r w:rsidRPr="00FD672C">
        <w:rPr>
          <w:rFonts w:ascii="Arial" w:eastAsia="Times New Roman" w:hAnsi="Arial" w:cs="Arial"/>
          <w:b/>
          <w:bCs/>
          <w:color w:val="2F2F2F"/>
          <w:sz w:val="18"/>
          <w:szCs w:val="18"/>
          <w:lang w:eastAsia="es-MX"/>
        </w:rPr>
        <w:t>IMPORTACIÓN PARA LAS MERCANCÍAS ORIGINARIAS DE LA REGIÓN CONFORMADA POR MÉXICO,</w:t>
      </w:r>
      <w:r w:rsidRPr="00FD672C">
        <w:rPr>
          <w:rFonts w:ascii="Arial" w:eastAsia="Times New Roman" w:hAnsi="Arial" w:cs="Arial"/>
          <w:color w:val="2F2F2F"/>
          <w:sz w:val="18"/>
          <w:szCs w:val="18"/>
          <w:lang w:eastAsia="es-MX"/>
        </w:rPr>
        <w:br/>
      </w:r>
      <w:r w:rsidRPr="00FD672C">
        <w:rPr>
          <w:rFonts w:ascii="Arial" w:eastAsia="Times New Roman" w:hAnsi="Arial" w:cs="Arial"/>
          <w:b/>
          <w:bCs/>
          <w:color w:val="2F2F2F"/>
          <w:sz w:val="18"/>
          <w:szCs w:val="18"/>
          <w:lang w:eastAsia="es-MX"/>
        </w:rPr>
        <w:t>AUSTRALIA, BRUNÉI, CANADÁ, CHILE, JAPÓN, MALASIA, NUEVA ZELANDA, PERÚ, SINGAPUR Y</w:t>
      </w:r>
      <w:r w:rsidRPr="00FD672C">
        <w:rPr>
          <w:rFonts w:ascii="Arial" w:eastAsia="Times New Roman" w:hAnsi="Arial" w:cs="Arial"/>
          <w:color w:val="2F2F2F"/>
          <w:sz w:val="18"/>
          <w:szCs w:val="18"/>
          <w:lang w:eastAsia="es-MX"/>
        </w:rPr>
        <w:br/>
      </w:r>
      <w:r w:rsidRPr="00FD672C">
        <w:rPr>
          <w:rFonts w:ascii="Arial" w:eastAsia="Times New Roman" w:hAnsi="Arial" w:cs="Arial"/>
          <w:b/>
          <w:bCs/>
          <w:color w:val="2F2F2F"/>
          <w:sz w:val="18"/>
          <w:szCs w:val="18"/>
          <w:lang w:eastAsia="es-MX"/>
        </w:rPr>
        <w:t>VIETNAM, QUE CORRESPONDEN A AUSTRALIA, CANADÁ, CHILE, JAPÓN, MALASIA, NUEVA</w:t>
      </w:r>
      <w:r w:rsidRPr="00FD672C">
        <w:rPr>
          <w:rFonts w:ascii="Arial" w:eastAsia="Times New Roman" w:hAnsi="Arial" w:cs="Arial"/>
          <w:color w:val="2F2F2F"/>
          <w:sz w:val="18"/>
          <w:szCs w:val="18"/>
          <w:lang w:eastAsia="es-MX"/>
        </w:rPr>
        <w:br/>
      </w:r>
      <w:r w:rsidRPr="00FD672C">
        <w:rPr>
          <w:rFonts w:ascii="Arial" w:eastAsia="Times New Roman" w:hAnsi="Arial" w:cs="Arial"/>
          <w:b/>
          <w:bCs/>
          <w:color w:val="2F2F2F"/>
          <w:sz w:val="18"/>
          <w:szCs w:val="18"/>
          <w:lang w:eastAsia="es-MX"/>
        </w:rPr>
        <w:t>ZELANDA, PERÚ Y SINGAPUR</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Primero.-</w:t>
      </w:r>
      <w:r w:rsidRPr="00FD672C">
        <w:rPr>
          <w:rFonts w:ascii="Arial" w:eastAsia="Times New Roman" w:hAnsi="Arial" w:cs="Arial"/>
          <w:color w:val="2F2F2F"/>
          <w:sz w:val="18"/>
          <w:szCs w:val="18"/>
          <w:lang w:eastAsia="es-MX"/>
        </w:rPr>
        <w:t> Conforme a lo dispuesto en el Tratado Integral y Progresista de Asociación Transpacífico, la importación de las mercancías originarias de la región conformada por México, Australia, Brunéi, Canadá, Chile, Japón, Malasia, Nueva Zelanda, Perú, Singapur y Vietnam, independientemente de su clasificación en la Tarifa de la Ley de los Impuestos Generales de Importación y de Exportación, que correspondan a Australia, Canadá, Chile, Japón, Malasia, Nueva Zelanda, Perú y Singapur, estará exenta del pago de arancel, salvo aquellas mercancías en que se indique lo contrario en el presente Acuerdo.</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Tercero.-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 del presente Acuerdo, que correspondan a Australia, Canadá, Chile, Japón, Malasia, Nueva Zelanda, Perú y Singapur, será el previsto en el artículo 1o. de la LIGIE, sin reducción alguna.</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Cuarto.-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 estará libre de arancel a partir del 1 de enero de 2025.</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Quinto.-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 del presente Acuerdo, será el arancel preferencial que se indica en ese Apéndice para cada una de ellas, que correspondan a Australia, Canadá, Chile, Japón, Malasia, Nueva Zelanda, Perú y Singapur, ya sea para la totalidad de las mercancías incluidas en cada fracción o, si así se establece, únicamente para la modalidad de la mercancía indicada, y estará libre de arancel a partir del 1 de enero de 2027.</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Sexto.-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2029.</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lastRenderedPageBreak/>
        <w:t>Séptimo.-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 estará libre de arancel a partir del 1 de enero de 2030.</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Octavo.-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2032.</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Noveno.-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el Apéndice III del presente Acuerdo, será el arancel preferencial que se indica en ese Apéndice para cada una de ellas, que correspondan a Australia, Canadá, Chile, Japón, Malasia, Nueva Zelanda, Perú y Singapur, ya sea para la totalidad de las mercancías incluidas en cada fracción o, si así se establece, únicamente para la modalidad de la mercancía indicada, y estará libre de arancel a partir del 1 de enero de 2033.</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 estará libre de arancel a partir del 1 de enero de 2027.</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 Primero.-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 estará libre de arancel a partir del 1 de enero de 2028.</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 Segundo.-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únicamente cuando se trate de la modalidad de la mercancía que se indica y estará libre de arancel a partir del 1 de enero de 2030.</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 Tercero.-</w:t>
      </w:r>
      <w:r w:rsidRPr="00FD672C">
        <w:rPr>
          <w:rFonts w:ascii="Arial" w:eastAsia="Times New Roman" w:hAnsi="Arial" w:cs="Arial"/>
          <w:color w:val="2F2F2F"/>
          <w:sz w:val="18"/>
          <w:szCs w:val="18"/>
          <w:lang w:eastAsia="es-MX"/>
        </w:rPr>
        <w:t> El arancel aplicable a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será el arancel preferencial que a continuación se indica, ya sea para la totalidad de las mercancías incluidas en cada fracción o, si así se establece, únicamente para la modalidad de la mercancía indicada, y estará libre de arancel a partir del 1 de enero de 2033.</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 Cuarto.-</w:t>
      </w:r>
      <w:r w:rsidRPr="00FD672C">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estará sujeta al arancel preferencial que se indica a continuación, ya sea para la totalidad de las mercancías incluidas en cada fracción o, si así se establece, únicamente para la modalidad de la mercancía indicada:</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lastRenderedPageBreak/>
        <w:t>Décimo Quinto.-</w:t>
      </w:r>
      <w:r w:rsidRPr="00FD672C">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estará sujeta al arancel preferencial que se indica a continuación:</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 </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 Sexto.-</w:t>
      </w:r>
      <w:r w:rsidRPr="00FD672C">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estará sujeta al arancel preferencial que se indica a continuación:</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Décimo Séptimo.-</w:t>
      </w:r>
      <w:r w:rsidRPr="00FD672C">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Malasia, Nueva Zelanda, Perú y Singapur, estará sujeta al arancel preferencial que se indica a continuación:</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Vigésimo Primero.-</w:t>
      </w:r>
      <w:r w:rsidRPr="00FD672C">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Malasia, Nueva Zelanda, Perú y Singapur, estará exenta del pago de arancel:</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Vigésimo Séptimo.-</w:t>
      </w:r>
      <w:r w:rsidRPr="00FD672C">
        <w:rPr>
          <w:rFonts w:ascii="Arial" w:eastAsia="Times New Roman" w:hAnsi="Arial" w:cs="Arial"/>
          <w:color w:val="2F2F2F"/>
          <w:sz w:val="18"/>
          <w:szCs w:val="18"/>
          <w:lang w:eastAsia="es-MX"/>
        </w:rPr>
        <w:t> La importación de las mercancías originarias de la región conformada por México, Australia, Brunéi, Canadá, Chile, Japón, Malasia, Nueva Zelanda, Perú, Singapur y Vietnam, comprendidas en las fracciones arancelarias que se señalan en este punto, que correspondan a Australia, Canadá, Chile, Japón, Nueva Zelanda, Perú y Singapur, estará exenta del pago de arancel:</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w:t>
      </w:r>
    </w:p>
    <w:p w:rsidR="00FD672C" w:rsidRPr="00FD672C" w:rsidRDefault="00FD672C" w:rsidP="00FD672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D672C">
        <w:rPr>
          <w:rFonts w:ascii="Times" w:eastAsia="Times New Roman" w:hAnsi="Times" w:cs="Times"/>
          <w:b/>
          <w:bCs/>
          <w:color w:val="2F2F2F"/>
          <w:sz w:val="18"/>
          <w:szCs w:val="18"/>
          <w:lang w:eastAsia="es-MX"/>
        </w:rPr>
        <w:t>TRANSITORIO</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b/>
          <w:bCs/>
          <w:color w:val="2F2F2F"/>
          <w:sz w:val="18"/>
          <w:szCs w:val="18"/>
          <w:lang w:eastAsia="es-MX"/>
        </w:rPr>
        <w:t>ÚNICO.</w:t>
      </w:r>
      <w:r w:rsidRPr="00FD672C">
        <w:rPr>
          <w:rFonts w:ascii="Arial" w:eastAsia="Times New Roman" w:hAnsi="Arial" w:cs="Arial"/>
          <w:color w:val="2F2F2F"/>
          <w:sz w:val="18"/>
          <w:szCs w:val="18"/>
          <w:lang w:eastAsia="es-MX"/>
        </w:rPr>
        <w:t> El presente Acuerdo entrará en vigor el 21 de febrero de 2023.</w:t>
      </w:r>
    </w:p>
    <w:p w:rsidR="00FD672C" w:rsidRPr="00FD672C" w:rsidRDefault="00FD672C" w:rsidP="00FD672C">
      <w:pPr>
        <w:shd w:val="clear" w:color="auto" w:fill="FFFFFF"/>
        <w:spacing w:after="101" w:line="240" w:lineRule="auto"/>
        <w:ind w:firstLine="288"/>
        <w:jc w:val="both"/>
        <w:rPr>
          <w:rFonts w:ascii="Arial" w:eastAsia="Times New Roman" w:hAnsi="Arial" w:cs="Arial"/>
          <w:color w:val="2F2F2F"/>
          <w:sz w:val="18"/>
          <w:szCs w:val="18"/>
          <w:lang w:eastAsia="es-MX"/>
        </w:rPr>
      </w:pPr>
      <w:r w:rsidRPr="00FD672C">
        <w:rPr>
          <w:rFonts w:ascii="Arial" w:eastAsia="Times New Roman" w:hAnsi="Arial" w:cs="Arial"/>
          <w:color w:val="2F2F2F"/>
          <w:sz w:val="18"/>
          <w:szCs w:val="18"/>
          <w:lang w:eastAsia="es-MX"/>
        </w:rPr>
        <w:t>Ciudad de México, a 10 de febrero de 2023.- La Secretaria de Economía, </w:t>
      </w:r>
      <w:r w:rsidRPr="00FD672C">
        <w:rPr>
          <w:rFonts w:ascii="Arial" w:eastAsia="Times New Roman" w:hAnsi="Arial" w:cs="Arial"/>
          <w:b/>
          <w:bCs/>
          <w:color w:val="2F2F2F"/>
          <w:sz w:val="18"/>
          <w:szCs w:val="18"/>
          <w:lang w:eastAsia="es-MX"/>
        </w:rPr>
        <w:t>Raquel Buenrostro Sánchez</w:t>
      </w:r>
      <w:r w:rsidRPr="00FD672C">
        <w:rPr>
          <w:rFonts w:ascii="Arial" w:eastAsia="Times New Roman" w:hAnsi="Arial" w:cs="Arial"/>
          <w:color w:val="2F2F2F"/>
          <w:sz w:val="18"/>
          <w:szCs w:val="18"/>
          <w:lang w:eastAsia="es-MX"/>
        </w:rPr>
        <w:t>.- Rúbrica.</w:t>
      </w:r>
    </w:p>
    <w:p w:rsidR="00FD672C" w:rsidRDefault="00FD672C" w:rsidP="00FD672C">
      <w:pPr>
        <w:jc w:val="both"/>
      </w:pPr>
    </w:p>
    <w:sectPr w:rsidR="00FD67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72C"/>
    <w:rsid w:val="00216A1B"/>
    <w:rsid w:val="00FD67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72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709370">
      <w:bodyDiv w:val="1"/>
      <w:marLeft w:val="0"/>
      <w:marRight w:val="0"/>
      <w:marTop w:val="0"/>
      <w:marBottom w:val="0"/>
      <w:divBdr>
        <w:top w:val="none" w:sz="0" w:space="0" w:color="auto"/>
        <w:left w:val="none" w:sz="0" w:space="0" w:color="auto"/>
        <w:bottom w:val="none" w:sz="0" w:space="0" w:color="auto"/>
        <w:right w:val="none" w:sz="0" w:space="0" w:color="auto"/>
      </w:divBdr>
      <w:divsChild>
        <w:div w:id="1102846383">
          <w:marLeft w:val="0"/>
          <w:marRight w:val="0"/>
          <w:marTop w:val="0"/>
          <w:marBottom w:val="101"/>
          <w:divBdr>
            <w:top w:val="none" w:sz="0" w:space="0" w:color="auto"/>
            <w:left w:val="none" w:sz="0" w:space="0" w:color="auto"/>
            <w:bottom w:val="none" w:sz="0" w:space="0" w:color="auto"/>
            <w:right w:val="none" w:sz="0" w:space="0" w:color="auto"/>
          </w:divBdr>
        </w:div>
        <w:div w:id="1758556115">
          <w:marLeft w:val="0"/>
          <w:marRight w:val="0"/>
          <w:marTop w:val="101"/>
          <w:marBottom w:val="101"/>
          <w:divBdr>
            <w:top w:val="none" w:sz="0" w:space="0" w:color="auto"/>
            <w:left w:val="none" w:sz="0" w:space="0" w:color="auto"/>
            <w:bottom w:val="none" w:sz="0" w:space="0" w:color="auto"/>
            <w:right w:val="none" w:sz="0" w:space="0" w:color="auto"/>
          </w:divBdr>
        </w:div>
        <w:div w:id="210699920">
          <w:marLeft w:val="0"/>
          <w:marRight w:val="0"/>
          <w:marTop w:val="0"/>
          <w:marBottom w:val="101"/>
          <w:divBdr>
            <w:top w:val="none" w:sz="0" w:space="0" w:color="auto"/>
            <w:left w:val="none" w:sz="0" w:space="0" w:color="auto"/>
            <w:bottom w:val="none" w:sz="0" w:space="0" w:color="auto"/>
            <w:right w:val="none" w:sz="0" w:space="0" w:color="auto"/>
          </w:divBdr>
        </w:div>
        <w:div w:id="1222056256">
          <w:marLeft w:val="0"/>
          <w:marRight w:val="0"/>
          <w:marTop w:val="0"/>
          <w:marBottom w:val="101"/>
          <w:divBdr>
            <w:top w:val="none" w:sz="0" w:space="0" w:color="auto"/>
            <w:left w:val="none" w:sz="0" w:space="0" w:color="auto"/>
            <w:bottom w:val="none" w:sz="0" w:space="0" w:color="auto"/>
            <w:right w:val="none" w:sz="0" w:space="0" w:color="auto"/>
          </w:divBdr>
        </w:div>
        <w:div w:id="722171332">
          <w:marLeft w:val="0"/>
          <w:marRight w:val="0"/>
          <w:marTop w:val="0"/>
          <w:marBottom w:val="101"/>
          <w:divBdr>
            <w:top w:val="none" w:sz="0" w:space="0" w:color="auto"/>
            <w:left w:val="none" w:sz="0" w:space="0" w:color="auto"/>
            <w:bottom w:val="none" w:sz="0" w:space="0" w:color="auto"/>
            <w:right w:val="none" w:sz="0" w:space="0" w:color="auto"/>
          </w:divBdr>
        </w:div>
        <w:div w:id="474302480">
          <w:marLeft w:val="0"/>
          <w:marRight w:val="0"/>
          <w:marTop w:val="0"/>
          <w:marBottom w:val="101"/>
          <w:divBdr>
            <w:top w:val="none" w:sz="0" w:space="0" w:color="auto"/>
            <w:left w:val="none" w:sz="0" w:space="0" w:color="auto"/>
            <w:bottom w:val="none" w:sz="0" w:space="0" w:color="auto"/>
            <w:right w:val="none" w:sz="0" w:space="0" w:color="auto"/>
          </w:divBdr>
        </w:div>
        <w:div w:id="517542497">
          <w:marLeft w:val="0"/>
          <w:marRight w:val="0"/>
          <w:marTop w:val="0"/>
          <w:marBottom w:val="101"/>
          <w:divBdr>
            <w:top w:val="none" w:sz="0" w:space="0" w:color="auto"/>
            <w:left w:val="none" w:sz="0" w:space="0" w:color="auto"/>
            <w:bottom w:val="none" w:sz="0" w:space="0" w:color="auto"/>
            <w:right w:val="none" w:sz="0" w:space="0" w:color="auto"/>
          </w:divBdr>
        </w:div>
        <w:div w:id="858736473">
          <w:marLeft w:val="0"/>
          <w:marRight w:val="0"/>
          <w:marTop w:val="0"/>
          <w:marBottom w:val="101"/>
          <w:divBdr>
            <w:top w:val="none" w:sz="0" w:space="0" w:color="auto"/>
            <w:left w:val="none" w:sz="0" w:space="0" w:color="auto"/>
            <w:bottom w:val="none" w:sz="0" w:space="0" w:color="auto"/>
            <w:right w:val="none" w:sz="0" w:space="0" w:color="auto"/>
          </w:divBdr>
        </w:div>
        <w:div w:id="1100492814">
          <w:marLeft w:val="0"/>
          <w:marRight w:val="0"/>
          <w:marTop w:val="0"/>
          <w:marBottom w:val="101"/>
          <w:divBdr>
            <w:top w:val="none" w:sz="0" w:space="0" w:color="auto"/>
            <w:left w:val="none" w:sz="0" w:space="0" w:color="auto"/>
            <w:bottom w:val="none" w:sz="0" w:space="0" w:color="auto"/>
            <w:right w:val="none" w:sz="0" w:space="0" w:color="auto"/>
          </w:divBdr>
        </w:div>
        <w:div w:id="648246465">
          <w:marLeft w:val="0"/>
          <w:marRight w:val="0"/>
          <w:marTop w:val="0"/>
          <w:marBottom w:val="101"/>
          <w:divBdr>
            <w:top w:val="none" w:sz="0" w:space="0" w:color="auto"/>
            <w:left w:val="none" w:sz="0" w:space="0" w:color="auto"/>
            <w:bottom w:val="none" w:sz="0" w:space="0" w:color="auto"/>
            <w:right w:val="none" w:sz="0" w:space="0" w:color="auto"/>
          </w:divBdr>
        </w:div>
        <w:div w:id="1032464283">
          <w:marLeft w:val="0"/>
          <w:marRight w:val="0"/>
          <w:marTop w:val="0"/>
          <w:marBottom w:val="101"/>
          <w:divBdr>
            <w:top w:val="none" w:sz="0" w:space="0" w:color="auto"/>
            <w:left w:val="none" w:sz="0" w:space="0" w:color="auto"/>
            <w:bottom w:val="none" w:sz="0" w:space="0" w:color="auto"/>
            <w:right w:val="none" w:sz="0" w:space="0" w:color="auto"/>
          </w:divBdr>
        </w:div>
        <w:div w:id="1994487522">
          <w:marLeft w:val="0"/>
          <w:marRight w:val="0"/>
          <w:marTop w:val="101"/>
          <w:marBottom w:val="101"/>
          <w:divBdr>
            <w:top w:val="none" w:sz="0" w:space="0" w:color="auto"/>
            <w:left w:val="none" w:sz="0" w:space="0" w:color="auto"/>
            <w:bottom w:val="none" w:sz="0" w:space="0" w:color="auto"/>
            <w:right w:val="none" w:sz="0" w:space="0" w:color="auto"/>
          </w:divBdr>
        </w:div>
        <w:div w:id="1832064610">
          <w:marLeft w:val="0"/>
          <w:marRight w:val="0"/>
          <w:marTop w:val="0"/>
          <w:marBottom w:val="101"/>
          <w:divBdr>
            <w:top w:val="none" w:sz="0" w:space="0" w:color="auto"/>
            <w:left w:val="none" w:sz="0" w:space="0" w:color="auto"/>
            <w:bottom w:val="none" w:sz="0" w:space="0" w:color="auto"/>
            <w:right w:val="none" w:sz="0" w:space="0" w:color="auto"/>
          </w:divBdr>
        </w:div>
        <w:div w:id="1260677000">
          <w:marLeft w:val="0"/>
          <w:marRight w:val="0"/>
          <w:marTop w:val="0"/>
          <w:marBottom w:val="101"/>
          <w:divBdr>
            <w:top w:val="none" w:sz="0" w:space="0" w:color="auto"/>
            <w:left w:val="none" w:sz="0" w:space="0" w:color="auto"/>
            <w:bottom w:val="none" w:sz="0" w:space="0" w:color="auto"/>
            <w:right w:val="none" w:sz="0" w:space="0" w:color="auto"/>
          </w:divBdr>
        </w:div>
        <w:div w:id="1791119588">
          <w:marLeft w:val="0"/>
          <w:marRight w:val="0"/>
          <w:marTop w:val="0"/>
          <w:marBottom w:val="101"/>
          <w:divBdr>
            <w:top w:val="none" w:sz="0" w:space="0" w:color="auto"/>
            <w:left w:val="none" w:sz="0" w:space="0" w:color="auto"/>
            <w:bottom w:val="none" w:sz="0" w:space="0" w:color="auto"/>
            <w:right w:val="none" w:sz="0" w:space="0" w:color="auto"/>
          </w:divBdr>
        </w:div>
        <w:div w:id="1534608080">
          <w:marLeft w:val="0"/>
          <w:marRight w:val="0"/>
          <w:marTop w:val="0"/>
          <w:marBottom w:val="101"/>
          <w:divBdr>
            <w:top w:val="none" w:sz="0" w:space="0" w:color="auto"/>
            <w:left w:val="none" w:sz="0" w:space="0" w:color="auto"/>
            <w:bottom w:val="none" w:sz="0" w:space="0" w:color="auto"/>
            <w:right w:val="none" w:sz="0" w:space="0" w:color="auto"/>
          </w:divBdr>
        </w:div>
        <w:div w:id="859588961">
          <w:marLeft w:val="0"/>
          <w:marRight w:val="0"/>
          <w:marTop w:val="0"/>
          <w:marBottom w:val="101"/>
          <w:divBdr>
            <w:top w:val="none" w:sz="0" w:space="0" w:color="auto"/>
            <w:left w:val="none" w:sz="0" w:space="0" w:color="auto"/>
            <w:bottom w:val="none" w:sz="0" w:space="0" w:color="auto"/>
            <w:right w:val="none" w:sz="0" w:space="0" w:color="auto"/>
          </w:divBdr>
        </w:div>
        <w:div w:id="871769302">
          <w:marLeft w:val="0"/>
          <w:marRight w:val="0"/>
          <w:marTop w:val="0"/>
          <w:marBottom w:val="101"/>
          <w:divBdr>
            <w:top w:val="none" w:sz="0" w:space="0" w:color="auto"/>
            <w:left w:val="none" w:sz="0" w:space="0" w:color="auto"/>
            <w:bottom w:val="none" w:sz="0" w:space="0" w:color="auto"/>
            <w:right w:val="none" w:sz="0" w:space="0" w:color="auto"/>
          </w:divBdr>
        </w:div>
        <w:div w:id="1254437323">
          <w:marLeft w:val="0"/>
          <w:marRight w:val="0"/>
          <w:marTop w:val="0"/>
          <w:marBottom w:val="101"/>
          <w:divBdr>
            <w:top w:val="none" w:sz="0" w:space="0" w:color="auto"/>
            <w:left w:val="none" w:sz="0" w:space="0" w:color="auto"/>
            <w:bottom w:val="none" w:sz="0" w:space="0" w:color="auto"/>
            <w:right w:val="none" w:sz="0" w:space="0" w:color="auto"/>
          </w:divBdr>
        </w:div>
        <w:div w:id="1276061206">
          <w:marLeft w:val="0"/>
          <w:marRight w:val="0"/>
          <w:marTop w:val="0"/>
          <w:marBottom w:val="101"/>
          <w:divBdr>
            <w:top w:val="none" w:sz="0" w:space="0" w:color="auto"/>
            <w:left w:val="none" w:sz="0" w:space="0" w:color="auto"/>
            <w:bottom w:val="none" w:sz="0" w:space="0" w:color="auto"/>
            <w:right w:val="none" w:sz="0" w:space="0" w:color="auto"/>
          </w:divBdr>
        </w:div>
        <w:div w:id="837573379">
          <w:marLeft w:val="0"/>
          <w:marRight w:val="0"/>
          <w:marTop w:val="0"/>
          <w:marBottom w:val="101"/>
          <w:divBdr>
            <w:top w:val="none" w:sz="0" w:space="0" w:color="auto"/>
            <w:left w:val="none" w:sz="0" w:space="0" w:color="auto"/>
            <w:bottom w:val="none" w:sz="0" w:space="0" w:color="auto"/>
            <w:right w:val="none" w:sz="0" w:space="0" w:color="auto"/>
          </w:divBdr>
        </w:div>
        <w:div w:id="313918476">
          <w:marLeft w:val="0"/>
          <w:marRight w:val="0"/>
          <w:marTop w:val="0"/>
          <w:marBottom w:val="101"/>
          <w:divBdr>
            <w:top w:val="none" w:sz="0" w:space="0" w:color="auto"/>
            <w:left w:val="none" w:sz="0" w:space="0" w:color="auto"/>
            <w:bottom w:val="none" w:sz="0" w:space="0" w:color="auto"/>
            <w:right w:val="none" w:sz="0" w:space="0" w:color="auto"/>
          </w:divBdr>
        </w:div>
        <w:div w:id="1309045523">
          <w:marLeft w:val="0"/>
          <w:marRight w:val="0"/>
          <w:marTop w:val="0"/>
          <w:marBottom w:val="101"/>
          <w:divBdr>
            <w:top w:val="none" w:sz="0" w:space="0" w:color="auto"/>
            <w:left w:val="none" w:sz="0" w:space="0" w:color="auto"/>
            <w:bottom w:val="none" w:sz="0" w:space="0" w:color="auto"/>
            <w:right w:val="none" w:sz="0" w:space="0" w:color="auto"/>
          </w:divBdr>
        </w:div>
        <w:div w:id="1533496968">
          <w:marLeft w:val="0"/>
          <w:marRight w:val="0"/>
          <w:marTop w:val="0"/>
          <w:marBottom w:val="101"/>
          <w:divBdr>
            <w:top w:val="none" w:sz="0" w:space="0" w:color="auto"/>
            <w:left w:val="none" w:sz="0" w:space="0" w:color="auto"/>
            <w:bottom w:val="none" w:sz="0" w:space="0" w:color="auto"/>
            <w:right w:val="none" w:sz="0" w:space="0" w:color="auto"/>
          </w:divBdr>
        </w:div>
        <w:div w:id="1147014781">
          <w:marLeft w:val="0"/>
          <w:marRight w:val="0"/>
          <w:marTop w:val="0"/>
          <w:marBottom w:val="101"/>
          <w:divBdr>
            <w:top w:val="none" w:sz="0" w:space="0" w:color="auto"/>
            <w:left w:val="none" w:sz="0" w:space="0" w:color="auto"/>
            <w:bottom w:val="none" w:sz="0" w:space="0" w:color="auto"/>
            <w:right w:val="none" w:sz="0" w:space="0" w:color="auto"/>
          </w:divBdr>
        </w:div>
        <w:div w:id="1687906919">
          <w:marLeft w:val="0"/>
          <w:marRight w:val="0"/>
          <w:marTop w:val="0"/>
          <w:marBottom w:val="101"/>
          <w:divBdr>
            <w:top w:val="none" w:sz="0" w:space="0" w:color="auto"/>
            <w:left w:val="none" w:sz="0" w:space="0" w:color="auto"/>
            <w:bottom w:val="none" w:sz="0" w:space="0" w:color="auto"/>
            <w:right w:val="none" w:sz="0" w:space="0" w:color="auto"/>
          </w:divBdr>
        </w:div>
        <w:div w:id="716320344">
          <w:marLeft w:val="0"/>
          <w:marRight w:val="0"/>
          <w:marTop w:val="0"/>
          <w:marBottom w:val="101"/>
          <w:divBdr>
            <w:top w:val="none" w:sz="0" w:space="0" w:color="auto"/>
            <w:left w:val="none" w:sz="0" w:space="0" w:color="auto"/>
            <w:bottom w:val="none" w:sz="0" w:space="0" w:color="auto"/>
            <w:right w:val="none" w:sz="0" w:space="0" w:color="auto"/>
          </w:divBdr>
        </w:div>
        <w:div w:id="73823973">
          <w:marLeft w:val="0"/>
          <w:marRight w:val="0"/>
          <w:marTop w:val="0"/>
          <w:marBottom w:val="101"/>
          <w:divBdr>
            <w:top w:val="none" w:sz="0" w:space="0" w:color="auto"/>
            <w:left w:val="none" w:sz="0" w:space="0" w:color="auto"/>
            <w:bottom w:val="none" w:sz="0" w:space="0" w:color="auto"/>
            <w:right w:val="none" w:sz="0" w:space="0" w:color="auto"/>
          </w:divBdr>
        </w:div>
        <w:div w:id="1803232524">
          <w:marLeft w:val="0"/>
          <w:marRight w:val="0"/>
          <w:marTop w:val="0"/>
          <w:marBottom w:val="101"/>
          <w:divBdr>
            <w:top w:val="none" w:sz="0" w:space="0" w:color="auto"/>
            <w:left w:val="none" w:sz="0" w:space="0" w:color="auto"/>
            <w:bottom w:val="none" w:sz="0" w:space="0" w:color="auto"/>
            <w:right w:val="none" w:sz="0" w:space="0" w:color="auto"/>
          </w:divBdr>
        </w:div>
        <w:div w:id="1341812741">
          <w:marLeft w:val="0"/>
          <w:marRight w:val="0"/>
          <w:marTop w:val="0"/>
          <w:marBottom w:val="101"/>
          <w:divBdr>
            <w:top w:val="none" w:sz="0" w:space="0" w:color="auto"/>
            <w:left w:val="none" w:sz="0" w:space="0" w:color="auto"/>
            <w:bottom w:val="none" w:sz="0" w:space="0" w:color="auto"/>
            <w:right w:val="none" w:sz="0" w:space="0" w:color="auto"/>
          </w:divBdr>
        </w:div>
        <w:div w:id="243730446">
          <w:marLeft w:val="0"/>
          <w:marRight w:val="0"/>
          <w:marTop w:val="0"/>
          <w:marBottom w:val="101"/>
          <w:divBdr>
            <w:top w:val="none" w:sz="0" w:space="0" w:color="auto"/>
            <w:left w:val="none" w:sz="0" w:space="0" w:color="auto"/>
            <w:bottom w:val="none" w:sz="0" w:space="0" w:color="auto"/>
            <w:right w:val="none" w:sz="0" w:space="0" w:color="auto"/>
          </w:divBdr>
        </w:div>
        <w:div w:id="373965121">
          <w:marLeft w:val="0"/>
          <w:marRight w:val="0"/>
          <w:marTop w:val="0"/>
          <w:marBottom w:val="101"/>
          <w:divBdr>
            <w:top w:val="none" w:sz="0" w:space="0" w:color="auto"/>
            <w:left w:val="none" w:sz="0" w:space="0" w:color="auto"/>
            <w:bottom w:val="none" w:sz="0" w:space="0" w:color="auto"/>
            <w:right w:val="none" w:sz="0" w:space="0" w:color="auto"/>
          </w:divBdr>
        </w:div>
        <w:div w:id="1667439780">
          <w:marLeft w:val="0"/>
          <w:marRight w:val="0"/>
          <w:marTop w:val="0"/>
          <w:marBottom w:val="101"/>
          <w:divBdr>
            <w:top w:val="none" w:sz="0" w:space="0" w:color="auto"/>
            <w:left w:val="none" w:sz="0" w:space="0" w:color="auto"/>
            <w:bottom w:val="none" w:sz="0" w:space="0" w:color="auto"/>
            <w:right w:val="none" w:sz="0" w:space="0" w:color="auto"/>
          </w:divBdr>
        </w:div>
        <w:div w:id="1393234447">
          <w:marLeft w:val="0"/>
          <w:marRight w:val="0"/>
          <w:marTop w:val="0"/>
          <w:marBottom w:val="101"/>
          <w:divBdr>
            <w:top w:val="none" w:sz="0" w:space="0" w:color="auto"/>
            <w:left w:val="none" w:sz="0" w:space="0" w:color="auto"/>
            <w:bottom w:val="none" w:sz="0" w:space="0" w:color="auto"/>
            <w:right w:val="none" w:sz="0" w:space="0" w:color="auto"/>
          </w:divBdr>
        </w:div>
        <w:div w:id="1673602838">
          <w:marLeft w:val="0"/>
          <w:marRight w:val="0"/>
          <w:marTop w:val="0"/>
          <w:marBottom w:val="101"/>
          <w:divBdr>
            <w:top w:val="none" w:sz="0" w:space="0" w:color="auto"/>
            <w:left w:val="none" w:sz="0" w:space="0" w:color="auto"/>
            <w:bottom w:val="none" w:sz="0" w:space="0" w:color="auto"/>
            <w:right w:val="none" w:sz="0" w:space="0" w:color="auto"/>
          </w:divBdr>
        </w:div>
        <w:div w:id="20783038">
          <w:marLeft w:val="0"/>
          <w:marRight w:val="0"/>
          <w:marTop w:val="0"/>
          <w:marBottom w:val="101"/>
          <w:divBdr>
            <w:top w:val="none" w:sz="0" w:space="0" w:color="auto"/>
            <w:left w:val="none" w:sz="0" w:space="0" w:color="auto"/>
            <w:bottom w:val="none" w:sz="0" w:space="0" w:color="auto"/>
            <w:right w:val="none" w:sz="0" w:space="0" w:color="auto"/>
          </w:divBdr>
        </w:div>
        <w:div w:id="1178231604">
          <w:marLeft w:val="0"/>
          <w:marRight w:val="0"/>
          <w:marTop w:val="0"/>
          <w:marBottom w:val="101"/>
          <w:divBdr>
            <w:top w:val="none" w:sz="0" w:space="0" w:color="auto"/>
            <w:left w:val="none" w:sz="0" w:space="0" w:color="auto"/>
            <w:bottom w:val="none" w:sz="0" w:space="0" w:color="auto"/>
            <w:right w:val="none" w:sz="0" w:space="0" w:color="auto"/>
          </w:divBdr>
        </w:div>
        <w:div w:id="1978991433">
          <w:marLeft w:val="0"/>
          <w:marRight w:val="0"/>
          <w:marTop w:val="0"/>
          <w:marBottom w:val="101"/>
          <w:divBdr>
            <w:top w:val="none" w:sz="0" w:space="0" w:color="auto"/>
            <w:left w:val="none" w:sz="0" w:space="0" w:color="auto"/>
            <w:bottom w:val="none" w:sz="0" w:space="0" w:color="auto"/>
            <w:right w:val="none" w:sz="0" w:space="0" w:color="auto"/>
          </w:divBdr>
        </w:div>
        <w:div w:id="2112162536">
          <w:marLeft w:val="0"/>
          <w:marRight w:val="0"/>
          <w:marTop w:val="0"/>
          <w:marBottom w:val="101"/>
          <w:divBdr>
            <w:top w:val="none" w:sz="0" w:space="0" w:color="auto"/>
            <w:left w:val="none" w:sz="0" w:space="0" w:color="auto"/>
            <w:bottom w:val="none" w:sz="0" w:space="0" w:color="auto"/>
            <w:right w:val="none" w:sz="0" w:space="0" w:color="auto"/>
          </w:divBdr>
        </w:div>
        <w:div w:id="66391779">
          <w:marLeft w:val="0"/>
          <w:marRight w:val="0"/>
          <w:marTop w:val="0"/>
          <w:marBottom w:val="101"/>
          <w:divBdr>
            <w:top w:val="none" w:sz="0" w:space="0" w:color="auto"/>
            <w:left w:val="none" w:sz="0" w:space="0" w:color="auto"/>
            <w:bottom w:val="none" w:sz="0" w:space="0" w:color="auto"/>
            <w:right w:val="none" w:sz="0" w:space="0" w:color="auto"/>
          </w:divBdr>
        </w:div>
        <w:div w:id="763920122">
          <w:marLeft w:val="0"/>
          <w:marRight w:val="0"/>
          <w:marTop w:val="0"/>
          <w:marBottom w:val="101"/>
          <w:divBdr>
            <w:top w:val="none" w:sz="0" w:space="0" w:color="auto"/>
            <w:left w:val="none" w:sz="0" w:space="0" w:color="auto"/>
            <w:bottom w:val="none" w:sz="0" w:space="0" w:color="auto"/>
            <w:right w:val="none" w:sz="0" w:space="0" w:color="auto"/>
          </w:divBdr>
        </w:div>
        <w:div w:id="1589575695">
          <w:marLeft w:val="0"/>
          <w:marRight w:val="0"/>
          <w:marTop w:val="0"/>
          <w:marBottom w:val="101"/>
          <w:divBdr>
            <w:top w:val="none" w:sz="0" w:space="0" w:color="auto"/>
            <w:left w:val="none" w:sz="0" w:space="0" w:color="auto"/>
            <w:bottom w:val="none" w:sz="0" w:space="0" w:color="auto"/>
            <w:right w:val="none" w:sz="0" w:space="0" w:color="auto"/>
          </w:divBdr>
        </w:div>
        <w:div w:id="1317995554">
          <w:marLeft w:val="0"/>
          <w:marRight w:val="0"/>
          <w:marTop w:val="0"/>
          <w:marBottom w:val="101"/>
          <w:divBdr>
            <w:top w:val="none" w:sz="0" w:space="0" w:color="auto"/>
            <w:left w:val="none" w:sz="0" w:space="0" w:color="auto"/>
            <w:bottom w:val="none" w:sz="0" w:space="0" w:color="auto"/>
            <w:right w:val="none" w:sz="0" w:space="0" w:color="auto"/>
          </w:divBdr>
        </w:div>
        <w:div w:id="458300611">
          <w:marLeft w:val="0"/>
          <w:marRight w:val="0"/>
          <w:marTop w:val="0"/>
          <w:marBottom w:val="101"/>
          <w:divBdr>
            <w:top w:val="none" w:sz="0" w:space="0" w:color="auto"/>
            <w:left w:val="none" w:sz="0" w:space="0" w:color="auto"/>
            <w:bottom w:val="none" w:sz="0" w:space="0" w:color="auto"/>
            <w:right w:val="none" w:sz="0" w:space="0" w:color="auto"/>
          </w:divBdr>
        </w:div>
        <w:div w:id="1842963268">
          <w:marLeft w:val="0"/>
          <w:marRight w:val="0"/>
          <w:marTop w:val="0"/>
          <w:marBottom w:val="101"/>
          <w:divBdr>
            <w:top w:val="none" w:sz="0" w:space="0" w:color="auto"/>
            <w:left w:val="none" w:sz="0" w:space="0" w:color="auto"/>
            <w:bottom w:val="none" w:sz="0" w:space="0" w:color="auto"/>
            <w:right w:val="none" w:sz="0" w:space="0" w:color="auto"/>
          </w:divBdr>
        </w:div>
        <w:div w:id="1250776678">
          <w:marLeft w:val="0"/>
          <w:marRight w:val="0"/>
          <w:marTop w:val="0"/>
          <w:marBottom w:val="101"/>
          <w:divBdr>
            <w:top w:val="none" w:sz="0" w:space="0" w:color="auto"/>
            <w:left w:val="none" w:sz="0" w:space="0" w:color="auto"/>
            <w:bottom w:val="none" w:sz="0" w:space="0" w:color="auto"/>
            <w:right w:val="none" w:sz="0" w:space="0" w:color="auto"/>
          </w:divBdr>
        </w:div>
        <w:div w:id="412044582">
          <w:marLeft w:val="0"/>
          <w:marRight w:val="0"/>
          <w:marTop w:val="0"/>
          <w:marBottom w:val="101"/>
          <w:divBdr>
            <w:top w:val="none" w:sz="0" w:space="0" w:color="auto"/>
            <w:left w:val="none" w:sz="0" w:space="0" w:color="auto"/>
            <w:bottom w:val="none" w:sz="0" w:space="0" w:color="auto"/>
            <w:right w:val="none" w:sz="0" w:space="0" w:color="auto"/>
          </w:divBdr>
        </w:div>
        <w:div w:id="1106850161">
          <w:marLeft w:val="0"/>
          <w:marRight w:val="0"/>
          <w:marTop w:val="0"/>
          <w:marBottom w:val="101"/>
          <w:divBdr>
            <w:top w:val="none" w:sz="0" w:space="0" w:color="auto"/>
            <w:left w:val="none" w:sz="0" w:space="0" w:color="auto"/>
            <w:bottom w:val="none" w:sz="0" w:space="0" w:color="auto"/>
            <w:right w:val="none" w:sz="0" w:space="0" w:color="auto"/>
          </w:divBdr>
        </w:div>
        <w:div w:id="1242837203">
          <w:marLeft w:val="0"/>
          <w:marRight w:val="0"/>
          <w:marTop w:val="101"/>
          <w:marBottom w:val="101"/>
          <w:divBdr>
            <w:top w:val="none" w:sz="0" w:space="0" w:color="auto"/>
            <w:left w:val="none" w:sz="0" w:space="0" w:color="auto"/>
            <w:bottom w:val="none" w:sz="0" w:space="0" w:color="auto"/>
            <w:right w:val="none" w:sz="0" w:space="0" w:color="auto"/>
          </w:divBdr>
        </w:div>
        <w:div w:id="518740663">
          <w:marLeft w:val="0"/>
          <w:marRight w:val="0"/>
          <w:marTop w:val="0"/>
          <w:marBottom w:val="101"/>
          <w:divBdr>
            <w:top w:val="none" w:sz="0" w:space="0" w:color="auto"/>
            <w:left w:val="none" w:sz="0" w:space="0" w:color="auto"/>
            <w:bottom w:val="none" w:sz="0" w:space="0" w:color="auto"/>
            <w:right w:val="none" w:sz="0" w:space="0" w:color="auto"/>
          </w:divBdr>
        </w:div>
        <w:div w:id="115379246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2383</Words>
  <Characters>13109</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2023-02-21T14:15:00Z</dcterms:created>
  <dcterms:modified xsi:type="dcterms:W3CDTF">2023-02-21T14:17:00Z</dcterms:modified>
</cp:coreProperties>
</file>