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la Autoridad Investigadora de la Comisión Federal de Competencia Económica informa del inicio de la investigación por denuncia identificada con el número de expediente DE-027-2020 por la posible comisión de prácticas monopólicas relativas en el mercado de generación, comercialización al mayoreo y suministro de energía eléctrica y productos asociados, además de servicios y actividades relacionadas con estos mercados en territorio nacional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Autoridad Investigadora.- Expediente DE-027-2020.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LA AUTORIDAD INVESTIGADORA DE LA COMISIÓN FEDERAL DE COMPETENCIA ECONÓMICA INFORMA DEL INICIO DE LA INVESTIGACIÓN POR DENUNCIA IDENTIFICADA CON EL NÚMERO DE EXPEDIENTE DE-027-2020 POR LA POSIBLE COMISIÓN DE PRÁCTICAS MONOPÓLICAS RELATIVAS EN EL MERCADO DE "</w:t>
      </w:r>
      <w:r w:rsidDel="00000000" w:rsidR="00000000" w:rsidRPr="00000000">
        <w:rPr>
          <w:b w:val="1"/>
          <w:color w:val="2f2f2f"/>
          <w:sz w:val="16"/>
          <w:szCs w:val="16"/>
          <w:rtl w:val="0"/>
        </w:rPr>
        <w:t xml:space="preserve">GENERACIÓN, COMERCIALIZACIÓN AL MAYOREO Y SUMINISTRO DE ENERGÍA ELÉCTRICA Y PRODUCTOS ASOCIADOS, ADEMÁS DE SERVICIOS Y ACTIVIDADES RELACIONADAS CON ESTOS MERCADOS EN TERRITORIO NACIONAL</w:t>
      </w:r>
      <w:r w:rsidDel="00000000" w:rsidR="00000000" w:rsidRPr="00000000">
        <w:rPr>
          <w:color w:val="2f2f2f"/>
          <w:sz w:val="16"/>
          <w:szCs w:val="16"/>
          <w:rtl w:val="0"/>
        </w:rPr>
        <w:t xml:space="preserv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Inicio de la investigación por denuncia identificada con el número de expediente DE-027-2020, por la posible realización de conductas que podrían actualizar las prácticas monopólicas relativas previstas en los artículos 12 fracciones I y XXX, 28 fracciones II y XI, 52, 54, 56, fracciones V y/o XI, 58, 59, 66, 71 y 137 de la Ley Federal de Competencia Económica publicada en el Diario Oficial de la Federación (DOF) el veintitrés de mayo de dos mil catorce y que entró en vigor el siete de julio del mismo año (LFCE), disposición vigente al momento del inicio de la presente investigación, respecto de todas las posibles conductas que se pudieran acreditar en el mercado relevante que se determine dentro del mercado investigado de "generación, comercialización al mayoreo y suministro de energía eléctrica y productos asociados, además de servicios y actividades relacionadas con estos mercados en territorio nacional", así como los diversos 1, 2, 5, 6, 7, 8, 54 y 55 de las Disposiciones Regulatorias de la Ley Federal de Competencia Económica, publicadas en el DOF el diez de noviembre del dos mil catorce (Disposiciones), cuya última modificación aplicable a la investigación al rubro citada es la publicada en el DOF el cuatro de marzo de dos mil veinte.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ni se ha determinado aún el mercado relevante.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LFCE, por lo que sólo en caso de existir elementos suficientes para sustentar la actualización de contravenciones a la normatividad mencionada, se procederá en términos de los artículos 78, fracción I, 79 y 80 de la LFCE.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 fracciones IX, X y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17, fracción II, 26, fracción I y 29 del Estatuto Orgánico de la Comisión Federal de Competencia Económica publicado en el DOF el ocho de julio de dos mil catorce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el artículo 55 de las Disposiciones, se ordena enviar para su publicación en el sitio de Internet de la Comisión, así como en el DOF, dentro del primer periodo de investigación a que refiere el tercer párrafo del artículo 71 de la LFCE, el presente aviso, para efectos de que cualquier persona pueda coadyuvar en este procedimiento durante el periodo de investigación.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veintiséis de marzo de dos mil veintiuno.- Así lo acordó y firma el Titular de la Autoridad Investigadora de esta Comisión, </w:t>
      </w:r>
      <w:r w:rsidDel="00000000" w:rsidR="00000000" w:rsidRPr="00000000">
        <w:rPr>
          <w:b w:val="1"/>
          <w:color w:val="2f2f2f"/>
          <w:sz w:val="18"/>
          <w:szCs w:val="18"/>
          <w:rtl w:val="0"/>
        </w:rPr>
        <w:t xml:space="preserve">Sergio López Rodríguez</w:t>
      </w:r>
      <w:r w:rsidDel="00000000" w:rsidR="00000000" w:rsidRPr="00000000">
        <w:rPr>
          <w:color w:val="2f2f2f"/>
          <w:sz w:val="18"/>
          <w:szCs w:val="18"/>
          <w:rtl w:val="0"/>
        </w:rPr>
        <w:t xml:space="preserve">.- Rúbrica.</w:t>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