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5D" w:rsidRPr="00841D9A" w:rsidRDefault="004C1B5D" w:rsidP="004C1B5D">
      <w:pPr>
        <w:jc w:val="center"/>
        <w:rPr>
          <w:rFonts w:ascii="Verdana" w:eastAsia="Verdana" w:hAnsi="Verdana" w:cs="Verdana"/>
          <w:b/>
          <w:color w:val="0000FF"/>
          <w:sz w:val="24"/>
          <w:szCs w:val="24"/>
        </w:rPr>
      </w:pPr>
      <w:r w:rsidRPr="004C1B5D">
        <w:rPr>
          <w:rFonts w:ascii="Verdana" w:eastAsia="Verdana" w:hAnsi="Verdana" w:cs="Verdana"/>
          <w:b/>
          <w:color w:val="0000FF"/>
          <w:sz w:val="24"/>
          <w:szCs w:val="24"/>
        </w:rPr>
        <w:t>DÉCIMA Resolución de Modificaciones a la Resolución Miscelánea Fiscal para 2022.</w:t>
      </w:r>
      <w:r>
        <w:rPr>
          <w:rFonts w:ascii="Verdana" w:eastAsia="Verdana" w:hAnsi="Verdana" w:cs="Verdana"/>
          <w:b/>
          <w:color w:val="0000FF"/>
          <w:sz w:val="24"/>
          <w:szCs w:val="24"/>
        </w:rPr>
        <w:br/>
      </w:r>
      <w:r w:rsidR="00E16D0C" w:rsidRPr="00BB0099">
        <w:rPr>
          <w:rFonts w:ascii="Verdana" w:eastAsia="Verdana" w:hAnsi="Verdana" w:cs="Verdana"/>
          <w:b/>
          <w:color w:val="0000FF"/>
          <w:sz w:val="24"/>
          <w:szCs w:val="24"/>
        </w:rPr>
        <w:t>(DOF del 12 de diciembre de 2022)</w:t>
      </w:r>
      <w:bookmarkStart w:id="0" w:name="_GoBack"/>
      <w:bookmarkEnd w:id="0"/>
    </w:p>
    <w:p w:rsidR="009747E2" w:rsidRDefault="004C1B5D" w:rsidP="004C1B5D">
      <w:pPr>
        <w:jc w:val="both"/>
        <w:rPr>
          <w:rFonts w:ascii="Arial" w:hAnsi="Arial" w:cs="Arial"/>
          <w:b/>
          <w:color w:val="2F2F2F"/>
          <w:sz w:val="18"/>
          <w:szCs w:val="18"/>
          <w:shd w:val="clear" w:color="auto" w:fill="FFFFFF"/>
        </w:rPr>
      </w:pPr>
      <w:r w:rsidRPr="004C1B5D">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4C1B5D" w:rsidRPr="004C1B5D" w:rsidRDefault="004C1B5D" w:rsidP="004C1B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C1B5D">
        <w:rPr>
          <w:rFonts w:ascii="Times" w:eastAsia="Times New Roman" w:hAnsi="Times" w:cs="Times"/>
          <w:b/>
          <w:bCs/>
          <w:color w:val="2F2F2F"/>
          <w:sz w:val="18"/>
          <w:szCs w:val="18"/>
          <w:lang w:eastAsia="es-MX"/>
        </w:rPr>
        <w:t>DÉCIMA RESOLUCIÓN DE MODIFICACIONES A LA RESOLUCIÓN MISCELÁNEA FISCAL PARA 2022.</w:t>
      </w:r>
    </w:p>
    <w:p w:rsidR="004C1B5D" w:rsidRPr="004C1B5D" w:rsidRDefault="004C1B5D" w:rsidP="004C1B5D">
      <w:pPr>
        <w:shd w:val="clear" w:color="auto" w:fill="FFFFFF"/>
        <w:spacing w:after="101" w:line="240" w:lineRule="auto"/>
        <w:ind w:firstLine="288"/>
        <w:jc w:val="both"/>
        <w:rPr>
          <w:rFonts w:ascii="Arial" w:eastAsia="Times New Roman" w:hAnsi="Arial" w:cs="Arial"/>
          <w:color w:val="2F2F2F"/>
          <w:sz w:val="18"/>
          <w:szCs w:val="18"/>
          <w:lang w:eastAsia="es-MX"/>
        </w:rPr>
      </w:pPr>
      <w:r w:rsidRPr="004C1B5D">
        <w:rPr>
          <w:rFonts w:ascii="Arial" w:eastAsia="Times New Roman" w:hAnsi="Arial" w:cs="Arial"/>
          <w:color w:val="000000"/>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4C1B5D" w:rsidRPr="004C1B5D" w:rsidRDefault="004C1B5D" w:rsidP="004C1B5D">
      <w:pPr>
        <w:shd w:val="clear" w:color="auto" w:fill="FFFFFF"/>
        <w:spacing w:after="101" w:line="240" w:lineRule="auto"/>
        <w:ind w:firstLine="288"/>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PRIMERO. </w:t>
      </w:r>
      <w:r w:rsidRPr="004C1B5D">
        <w:rPr>
          <w:rFonts w:ascii="Arial" w:eastAsia="Times New Roman" w:hAnsi="Arial" w:cs="Arial"/>
          <w:color w:val="000000"/>
          <w:sz w:val="18"/>
          <w:szCs w:val="18"/>
          <w:lang w:eastAsia="es-MX"/>
        </w:rPr>
        <w:t>Se </w:t>
      </w:r>
      <w:r w:rsidRPr="004C1B5D">
        <w:rPr>
          <w:rFonts w:ascii="Arial" w:eastAsia="Times New Roman" w:hAnsi="Arial" w:cs="Arial"/>
          <w:b/>
          <w:bCs/>
          <w:color w:val="000000"/>
          <w:sz w:val="18"/>
          <w:szCs w:val="18"/>
          <w:lang w:eastAsia="es-MX"/>
        </w:rPr>
        <w:t>adiciona</w:t>
      </w:r>
      <w:r w:rsidRPr="004C1B5D">
        <w:rPr>
          <w:rFonts w:ascii="Arial" w:eastAsia="Times New Roman" w:hAnsi="Arial" w:cs="Arial"/>
          <w:color w:val="000000"/>
          <w:sz w:val="18"/>
          <w:szCs w:val="18"/>
          <w:lang w:eastAsia="es-MX"/>
        </w:rPr>
        <w:t> la regla 2.1.6., fracciones I, segundo párrafo y II, segundo párrafo de la Resolución Miscelánea Fiscal para 2022, para quedar de la siguiente manera:</w:t>
      </w:r>
    </w:p>
    <w:p w:rsidR="004C1B5D" w:rsidRPr="004C1B5D" w:rsidRDefault="004C1B5D" w:rsidP="004C1B5D">
      <w:pPr>
        <w:shd w:val="clear" w:color="auto" w:fill="FFFFFF"/>
        <w:spacing w:after="101" w:line="240" w:lineRule="auto"/>
        <w:ind w:hanging="1152"/>
        <w:jc w:val="both"/>
        <w:rPr>
          <w:rFonts w:ascii="Arial" w:eastAsia="Times New Roman" w:hAnsi="Arial" w:cs="Arial"/>
          <w:color w:val="2F2F2F"/>
          <w:sz w:val="18"/>
          <w:szCs w:val="18"/>
          <w:lang w:eastAsia="es-MX"/>
        </w:rPr>
      </w:pPr>
      <w:r w:rsidRPr="004C1B5D">
        <w:rPr>
          <w:rFonts w:ascii="Arial" w:eastAsia="Times New Roman" w:hAnsi="Arial" w:cs="Arial"/>
          <w:color w:val="2F2F2F"/>
          <w:sz w:val="20"/>
          <w:szCs w:val="20"/>
          <w:lang w:eastAsia="es-MX"/>
        </w:rPr>
        <w:t>                   </w:t>
      </w:r>
      <w:r w:rsidRPr="004C1B5D">
        <w:rPr>
          <w:rFonts w:ascii="Arial" w:eastAsia="Times New Roman" w:hAnsi="Arial" w:cs="Arial"/>
          <w:b/>
          <w:bCs/>
          <w:color w:val="2F2F2F"/>
          <w:sz w:val="18"/>
          <w:szCs w:val="18"/>
          <w:lang w:eastAsia="es-MX"/>
        </w:rPr>
        <w:t>Días inhábiles</w:t>
      </w:r>
    </w:p>
    <w:p w:rsidR="004C1B5D" w:rsidRPr="004C1B5D" w:rsidRDefault="004C1B5D" w:rsidP="004C1B5D">
      <w:pPr>
        <w:shd w:val="clear" w:color="auto" w:fill="FFFFFF"/>
        <w:spacing w:after="101" w:line="240" w:lineRule="auto"/>
        <w:ind w:hanging="900"/>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2.1.6.</w:t>
      </w:r>
      <w:r w:rsidRPr="004C1B5D">
        <w:rPr>
          <w:rFonts w:ascii="Arial" w:eastAsia="Times New Roman" w:hAnsi="Arial" w:cs="Arial"/>
          <w:color w:val="2F2F2F"/>
          <w:sz w:val="20"/>
          <w:szCs w:val="20"/>
          <w:lang w:eastAsia="es-MX"/>
        </w:rPr>
        <w:t>       </w:t>
      </w:r>
      <w:r w:rsidRPr="004C1B5D">
        <w:rPr>
          <w:rFonts w:ascii="Arial" w:eastAsia="Times New Roman" w:hAnsi="Arial" w:cs="Arial"/>
          <w:b/>
          <w:bCs/>
          <w:color w:val="2F2F2F"/>
          <w:sz w:val="18"/>
          <w:szCs w:val="18"/>
          <w:lang w:eastAsia="es-MX"/>
        </w:rPr>
        <w:t>...</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proofErr w:type="gramStart"/>
      <w:r w:rsidRPr="004C1B5D">
        <w:rPr>
          <w:rFonts w:ascii="Arial" w:eastAsia="Times New Roman" w:hAnsi="Arial" w:cs="Arial"/>
          <w:b/>
          <w:bCs/>
          <w:color w:val="2F2F2F"/>
          <w:sz w:val="18"/>
          <w:szCs w:val="18"/>
          <w:lang w:eastAsia="es-MX"/>
        </w:rPr>
        <w:t>I.</w:t>
      </w:r>
      <w:proofErr w:type="gramEnd"/>
      <w:r w:rsidRPr="004C1B5D">
        <w:rPr>
          <w:rFonts w:ascii="Arial" w:eastAsia="Times New Roman" w:hAnsi="Arial" w:cs="Arial"/>
          <w:color w:val="2F2F2F"/>
          <w:sz w:val="20"/>
          <w:szCs w:val="20"/>
          <w:lang w:eastAsia="es-MX"/>
        </w:rPr>
        <w:t>       </w:t>
      </w:r>
      <w:r w:rsidRPr="004C1B5D">
        <w:rPr>
          <w:rFonts w:ascii="Arial" w:eastAsia="Times New Roman" w:hAnsi="Arial" w:cs="Arial"/>
          <w:b/>
          <w:bCs/>
          <w:color w:val="2F2F2F"/>
          <w:sz w:val="18"/>
          <w:szCs w:val="18"/>
          <w:lang w:eastAsia="es-MX"/>
        </w:rPr>
        <w:t>...</w:t>
      </w:r>
    </w:p>
    <w:p w:rsidR="004C1B5D" w:rsidRPr="004C1B5D" w:rsidRDefault="004C1B5D" w:rsidP="004C1B5D">
      <w:pPr>
        <w:shd w:val="clear" w:color="auto" w:fill="FFFFFF"/>
        <w:spacing w:after="101" w:line="240" w:lineRule="auto"/>
        <w:jc w:val="both"/>
        <w:rPr>
          <w:rFonts w:ascii="Arial" w:eastAsia="Times New Roman" w:hAnsi="Arial" w:cs="Arial"/>
          <w:color w:val="2F2F2F"/>
          <w:sz w:val="18"/>
          <w:szCs w:val="18"/>
          <w:lang w:eastAsia="es-MX"/>
        </w:rPr>
      </w:pPr>
      <w:r w:rsidRPr="004C1B5D">
        <w:rPr>
          <w:rFonts w:ascii="Arial" w:eastAsia="Times New Roman" w:hAnsi="Arial" w:cs="Arial"/>
          <w:color w:val="2F2F2F"/>
          <w:sz w:val="18"/>
          <w:szCs w:val="18"/>
          <w:lang w:eastAsia="es-MX"/>
        </w:rPr>
        <w:t>El segundo periodo general de vacaciones del 2022, comprende los días del 19 al 30 de diciembre de 2022.</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II.</w:t>
      </w:r>
      <w:r w:rsidRPr="004C1B5D">
        <w:rPr>
          <w:rFonts w:ascii="Arial" w:eastAsia="Times New Roman" w:hAnsi="Arial" w:cs="Arial"/>
          <w:color w:val="2F2F2F"/>
          <w:sz w:val="20"/>
          <w:szCs w:val="20"/>
          <w:lang w:eastAsia="es-MX"/>
        </w:rPr>
        <w:t>      </w:t>
      </w:r>
      <w:r w:rsidRPr="004C1B5D">
        <w:rPr>
          <w:rFonts w:ascii="Arial" w:eastAsia="Times New Roman" w:hAnsi="Arial" w:cs="Arial"/>
          <w:b/>
          <w:bCs/>
          <w:color w:val="2F2F2F"/>
          <w:sz w:val="18"/>
          <w:szCs w:val="18"/>
          <w:lang w:eastAsia="es-MX"/>
        </w:rPr>
        <w:t>...</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Para las ADSC Oaxaca "1" y ADR Oaxaca "1", con sede en Oaxaca, será inhábil el día 17 de noviembre de 2022.</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r w:rsidRPr="004C1B5D">
        <w:rPr>
          <w:rFonts w:ascii="Arial" w:eastAsia="Times New Roman" w:hAnsi="Arial" w:cs="Arial"/>
          <w:color w:val="2F2F2F"/>
          <w:sz w:val="20"/>
          <w:szCs w:val="20"/>
          <w:lang w:eastAsia="es-MX"/>
        </w:rPr>
        <w:t>         </w:t>
      </w:r>
      <w:r w:rsidRPr="004C1B5D">
        <w:rPr>
          <w:rFonts w:ascii="Arial" w:eastAsia="Times New Roman" w:hAnsi="Arial" w:cs="Arial"/>
          <w:b/>
          <w:bCs/>
          <w:color w:val="2F2F2F"/>
          <w:sz w:val="18"/>
          <w:szCs w:val="18"/>
          <w:lang w:eastAsia="es-MX"/>
        </w:rPr>
        <w:t>...</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III.</w:t>
      </w:r>
      <w:r w:rsidRPr="004C1B5D">
        <w:rPr>
          <w:rFonts w:ascii="Arial" w:eastAsia="Times New Roman" w:hAnsi="Arial" w:cs="Arial"/>
          <w:color w:val="2F2F2F"/>
          <w:sz w:val="20"/>
          <w:szCs w:val="20"/>
          <w:lang w:eastAsia="es-MX"/>
        </w:rPr>
        <w:t>     </w:t>
      </w:r>
      <w:r w:rsidRPr="004C1B5D">
        <w:rPr>
          <w:rFonts w:ascii="Arial" w:eastAsia="Times New Roman" w:hAnsi="Arial" w:cs="Arial"/>
          <w:b/>
          <w:bCs/>
          <w:color w:val="2F2F2F"/>
          <w:sz w:val="18"/>
          <w:szCs w:val="18"/>
          <w:lang w:eastAsia="es-MX"/>
        </w:rPr>
        <w:t>...</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r w:rsidRPr="004C1B5D">
        <w:rPr>
          <w:rFonts w:ascii="Arial" w:eastAsia="Times New Roman" w:hAnsi="Arial" w:cs="Arial"/>
          <w:i/>
          <w:iCs/>
          <w:color w:val="2F2F2F"/>
          <w:sz w:val="18"/>
          <w:szCs w:val="18"/>
          <w:lang w:eastAsia="es-MX"/>
        </w:rPr>
        <w:t>CFF 12, 13, Ley Aduanera 18, Ley de Coordinación Fiscal 13, 14</w:t>
      </w:r>
    </w:p>
    <w:p w:rsidR="004C1B5D" w:rsidRPr="004C1B5D" w:rsidRDefault="004C1B5D" w:rsidP="004C1B5D">
      <w:pPr>
        <w:shd w:val="clear" w:color="auto" w:fill="FFFFFF"/>
        <w:spacing w:after="101" w:line="240" w:lineRule="auto"/>
        <w:ind w:firstLine="288"/>
        <w:jc w:val="both"/>
        <w:rPr>
          <w:rFonts w:ascii="Arial" w:eastAsia="Times New Roman" w:hAnsi="Arial" w:cs="Arial"/>
          <w:color w:val="2F2F2F"/>
          <w:sz w:val="18"/>
          <w:szCs w:val="18"/>
          <w:lang w:eastAsia="es-MX"/>
        </w:rPr>
      </w:pPr>
      <w:r w:rsidRPr="004C1B5D">
        <w:rPr>
          <w:rFonts w:ascii="Arial" w:eastAsia="Times New Roman" w:hAnsi="Arial" w:cs="Arial"/>
          <w:b/>
          <w:bCs/>
          <w:color w:val="000000"/>
          <w:sz w:val="18"/>
          <w:szCs w:val="18"/>
          <w:lang w:eastAsia="es-MX"/>
        </w:rPr>
        <w:t>SEGUNDO. </w:t>
      </w:r>
      <w:r w:rsidRPr="004C1B5D">
        <w:rPr>
          <w:rFonts w:ascii="Arial" w:eastAsia="Times New Roman" w:hAnsi="Arial" w:cs="Arial"/>
          <w:color w:val="000000"/>
          <w:sz w:val="18"/>
          <w:szCs w:val="18"/>
          <w:lang w:eastAsia="es-MX"/>
        </w:rPr>
        <w:t>De conformidad con lo dispuesto en el artículo 5 de la Ley Federal de los Derechos del Contribuyente, se da a conocer el texto actualizado de las reglas a que se refiere el Resolutivo Primero de la presente Resolución.</w:t>
      </w:r>
    </w:p>
    <w:p w:rsidR="004C1B5D" w:rsidRPr="004C1B5D" w:rsidRDefault="004C1B5D" w:rsidP="004C1B5D">
      <w:pPr>
        <w:shd w:val="clear" w:color="auto" w:fill="FFFFFF"/>
        <w:spacing w:after="101" w:line="240" w:lineRule="auto"/>
        <w:ind w:firstLine="288"/>
        <w:jc w:val="both"/>
        <w:rPr>
          <w:rFonts w:ascii="Arial" w:eastAsia="Times New Roman" w:hAnsi="Arial" w:cs="Arial"/>
          <w:color w:val="2F2F2F"/>
          <w:sz w:val="18"/>
          <w:szCs w:val="18"/>
          <w:lang w:eastAsia="es-MX"/>
        </w:rPr>
      </w:pPr>
      <w:r w:rsidRPr="004C1B5D">
        <w:rPr>
          <w:rFonts w:ascii="Arial" w:eastAsia="Times New Roman" w:hAnsi="Arial" w:cs="Arial"/>
          <w:color w:val="000000"/>
          <w:sz w:val="18"/>
          <w:szCs w:val="18"/>
          <w:lang w:eastAsia="es-MX"/>
        </w:rPr>
        <w:t>En caso de discrepancia entre el contenido del Resolutivo Primero y del presente, prevalece el texto del Resolutivo Primero.</w:t>
      </w:r>
    </w:p>
    <w:p w:rsidR="004C1B5D" w:rsidRPr="004C1B5D" w:rsidRDefault="004C1B5D" w:rsidP="004C1B5D">
      <w:pPr>
        <w:shd w:val="clear" w:color="auto" w:fill="FFFFFF"/>
        <w:spacing w:after="101" w:line="240" w:lineRule="auto"/>
        <w:ind w:hanging="1152"/>
        <w:jc w:val="both"/>
        <w:rPr>
          <w:rFonts w:ascii="Arial" w:eastAsia="Times New Roman" w:hAnsi="Arial" w:cs="Arial"/>
          <w:color w:val="2F2F2F"/>
          <w:sz w:val="18"/>
          <w:szCs w:val="18"/>
          <w:lang w:eastAsia="es-MX"/>
        </w:rPr>
      </w:pPr>
      <w:r w:rsidRPr="004C1B5D">
        <w:rPr>
          <w:rFonts w:ascii="Arial" w:eastAsia="Times New Roman" w:hAnsi="Arial" w:cs="Arial"/>
          <w:color w:val="2F2F2F"/>
          <w:sz w:val="20"/>
          <w:szCs w:val="20"/>
          <w:lang w:eastAsia="es-MX"/>
        </w:rPr>
        <w:t>                   </w:t>
      </w:r>
      <w:r w:rsidRPr="004C1B5D">
        <w:rPr>
          <w:rFonts w:ascii="Arial" w:eastAsia="Times New Roman" w:hAnsi="Arial" w:cs="Arial"/>
          <w:b/>
          <w:bCs/>
          <w:color w:val="2F2F2F"/>
          <w:sz w:val="18"/>
          <w:szCs w:val="18"/>
          <w:lang w:eastAsia="es-MX"/>
        </w:rPr>
        <w:t>Días inhábiles</w:t>
      </w:r>
    </w:p>
    <w:p w:rsidR="004C1B5D" w:rsidRPr="004C1B5D" w:rsidRDefault="004C1B5D" w:rsidP="004C1B5D">
      <w:pPr>
        <w:shd w:val="clear" w:color="auto" w:fill="FFFFFF"/>
        <w:spacing w:after="101" w:line="240" w:lineRule="auto"/>
        <w:ind w:hanging="900"/>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2.1.6.</w:t>
      </w: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Para los efectos del artículo 12, primer y segundo párrafos del CFF, se estará a lo siguiente:</w:t>
      </w:r>
    </w:p>
    <w:p w:rsidR="004C1B5D" w:rsidRPr="004C1B5D" w:rsidRDefault="004C1B5D" w:rsidP="004C1B5D">
      <w:pPr>
        <w:shd w:val="clear" w:color="auto" w:fill="FFFFFF"/>
        <w:spacing w:after="101" w:line="240" w:lineRule="auto"/>
        <w:ind w:hanging="547"/>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I.</w:t>
      </w: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El primer periodo general de vacaciones del 2022, comprende los días del 18 al 29 de julio de 2022. Para la Administración Central de Apoyo Jurídico y Normatividad de Grandes Contribuyentes, únicamente comprenderá los días del 20 al 29 de julio.</w:t>
      </w:r>
    </w:p>
    <w:p w:rsidR="004C1B5D" w:rsidRPr="004C1B5D" w:rsidRDefault="004C1B5D" w:rsidP="004C1B5D">
      <w:pPr>
        <w:shd w:val="clear" w:color="auto" w:fill="FFFFFF"/>
        <w:spacing w:after="101" w:line="240" w:lineRule="auto"/>
        <w:ind w:hanging="547"/>
        <w:jc w:val="both"/>
        <w:rPr>
          <w:rFonts w:ascii="Arial" w:eastAsia="Times New Roman" w:hAnsi="Arial" w:cs="Arial"/>
          <w:color w:val="2F2F2F"/>
          <w:sz w:val="18"/>
          <w:szCs w:val="18"/>
          <w:lang w:eastAsia="es-MX"/>
        </w:rPr>
      </w:pP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El segundo periodo general de vacaciones del 2022, comprende los días del 19 al 30 de diciembre de 2022.</w:t>
      </w:r>
    </w:p>
    <w:p w:rsidR="004C1B5D" w:rsidRPr="004C1B5D" w:rsidRDefault="004C1B5D" w:rsidP="004C1B5D">
      <w:pPr>
        <w:shd w:val="clear" w:color="auto" w:fill="FFFFFF"/>
        <w:spacing w:after="101" w:line="240" w:lineRule="auto"/>
        <w:ind w:hanging="547"/>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II.</w:t>
      </w: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Son días inhábiles para el SAT el 14 y 15 de abril de 2022, así como el 2 de noviembre de 2022.</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Para las ADSC Oaxaca "1" y ADR Oaxaca "1", con sede en Oaxaca, será inhábil el día 17 de noviembre de 2022.</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III.</w:t>
      </w: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4C1B5D" w:rsidRPr="004C1B5D" w:rsidRDefault="004C1B5D" w:rsidP="004C1B5D">
      <w:pPr>
        <w:shd w:val="clear" w:color="auto" w:fill="FFFFFF"/>
        <w:spacing w:after="101" w:line="240" w:lineRule="auto"/>
        <w:ind w:hanging="540"/>
        <w:jc w:val="both"/>
        <w:rPr>
          <w:rFonts w:ascii="Arial" w:eastAsia="Times New Roman" w:hAnsi="Arial" w:cs="Arial"/>
          <w:color w:val="2F2F2F"/>
          <w:sz w:val="18"/>
          <w:szCs w:val="18"/>
          <w:lang w:eastAsia="es-MX"/>
        </w:rPr>
      </w:pPr>
      <w:r w:rsidRPr="004C1B5D">
        <w:rPr>
          <w:rFonts w:ascii="Arial" w:eastAsia="Times New Roman" w:hAnsi="Arial" w:cs="Arial"/>
          <w:i/>
          <w:iCs/>
          <w:color w:val="2F2F2F"/>
          <w:sz w:val="18"/>
          <w:szCs w:val="18"/>
          <w:lang w:eastAsia="es-MX"/>
        </w:rPr>
        <w:t>CFF 12, 13, Ley Aduanera 18, Ley de Coordinación Fiscal 13, 14</w:t>
      </w:r>
    </w:p>
    <w:p w:rsidR="004C1B5D" w:rsidRPr="004C1B5D" w:rsidRDefault="004C1B5D" w:rsidP="004C1B5D">
      <w:pPr>
        <w:shd w:val="clear" w:color="auto" w:fill="FFFFFF"/>
        <w:spacing w:after="101" w:line="240" w:lineRule="auto"/>
        <w:ind w:hanging="1152"/>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lastRenderedPageBreak/>
        <w:t>TERCERO.</w:t>
      </w: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Se reforman los Transitorios Décimo Séptimo y Cuadragésimo Séptimo de la Resolución Miscelánea Fiscal para 2022, publicada en el DOF el 27 de diciembre de 2021, para quedar como sigue:</w:t>
      </w:r>
    </w:p>
    <w:p w:rsidR="004C1B5D" w:rsidRPr="004C1B5D" w:rsidRDefault="004C1B5D" w:rsidP="004C1B5D">
      <w:pPr>
        <w:shd w:val="clear" w:color="auto" w:fill="FFFFFF"/>
        <w:spacing w:after="101" w:line="240" w:lineRule="auto"/>
        <w:ind w:hanging="1080"/>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Décimo</w:t>
      </w:r>
    </w:p>
    <w:p w:rsidR="004C1B5D" w:rsidRPr="004C1B5D" w:rsidRDefault="004C1B5D" w:rsidP="004C1B5D">
      <w:pPr>
        <w:shd w:val="clear" w:color="auto" w:fill="FFFFFF"/>
        <w:spacing w:after="101" w:line="240" w:lineRule="auto"/>
        <w:ind w:hanging="1080"/>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Séptimo.</w:t>
      </w: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Para los efectos de los artículos 29 y 29-A del CFF, los contribuyentes obligados a expedir CFDI podrán optar por emitirlos en su versión 3.3 y para el CFDI que ampara retenciones e información de pagos podrán optar por emitirlos en su versión 1.0, conforme al Anexo 20, publicado en el DOF el 28 de julio de 2017, hasta el 31 de marzo de 2023. Lo anterior también será aplicable a los complementos y complementos concepto, compatibles con dichas versiones.</w:t>
      </w:r>
    </w:p>
    <w:p w:rsidR="004C1B5D" w:rsidRPr="004C1B5D" w:rsidRDefault="004C1B5D" w:rsidP="004C1B5D">
      <w:pPr>
        <w:shd w:val="clear" w:color="auto" w:fill="FFFFFF"/>
        <w:spacing w:after="101" w:line="240" w:lineRule="auto"/>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Cuadragésimo</w:t>
      </w:r>
    </w:p>
    <w:p w:rsidR="004C1B5D" w:rsidRPr="004C1B5D" w:rsidRDefault="004C1B5D" w:rsidP="004C1B5D">
      <w:pPr>
        <w:shd w:val="clear" w:color="auto" w:fill="FFFFFF"/>
        <w:spacing w:after="101" w:line="240" w:lineRule="auto"/>
        <w:ind w:hanging="1080"/>
        <w:jc w:val="both"/>
        <w:rPr>
          <w:rFonts w:ascii="Arial" w:eastAsia="Times New Roman" w:hAnsi="Arial" w:cs="Arial"/>
          <w:color w:val="2F2F2F"/>
          <w:sz w:val="18"/>
          <w:szCs w:val="18"/>
          <w:lang w:eastAsia="es-MX"/>
        </w:rPr>
      </w:pPr>
      <w:r w:rsidRPr="004C1B5D">
        <w:rPr>
          <w:rFonts w:ascii="Arial" w:eastAsia="Times New Roman" w:hAnsi="Arial" w:cs="Arial"/>
          <w:b/>
          <w:bCs/>
          <w:color w:val="2F2F2F"/>
          <w:sz w:val="18"/>
          <w:szCs w:val="18"/>
          <w:lang w:eastAsia="es-MX"/>
        </w:rPr>
        <w:t>Séptimo.</w:t>
      </w: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 xml:space="preserve">El uso del CFDI con complemento Carta Porte a que se refieren las reglas 2.7.7.1., 2.7.7.2., 2.7.7.3., 2.7.7.4., 2.7.7.5., 2.7.7.6., 2.7.7.7., 2.7.7.8., 2.7.7.9., 2.7.7.10., 2.7.7.11. </w:t>
      </w:r>
      <w:proofErr w:type="gramStart"/>
      <w:r w:rsidRPr="004C1B5D">
        <w:rPr>
          <w:rFonts w:ascii="Arial" w:eastAsia="Times New Roman" w:hAnsi="Arial" w:cs="Arial"/>
          <w:color w:val="2F2F2F"/>
          <w:sz w:val="18"/>
          <w:szCs w:val="18"/>
          <w:lang w:eastAsia="es-MX"/>
        </w:rPr>
        <w:t>y</w:t>
      </w:r>
      <w:proofErr w:type="gramEnd"/>
      <w:r w:rsidRPr="004C1B5D">
        <w:rPr>
          <w:rFonts w:ascii="Arial" w:eastAsia="Times New Roman" w:hAnsi="Arial" w:cs="Arial"/>
          <w:color w:val="2F2F2F"/>
          <w:sz w:val="18"/>
          <w:szCs w:val="18"/>
          <w:lang w:eastAsia="es-MX"/>
        </w:rPr>
        <w:t xml:space="preserve"> 2.7.7.12., será aplicable a partir del 1 de enero de 2022.</w:t>
      </w:r>
    </w:p>
    <w:p w:rsidR="004C1B5D" w:rsidRPr="004C1B5D" w:rsidRDefault="004C1B5D" w:rsidP="004C1B5D">
      <w:pPr>
        <w:shd w:val="clear" w:color="auto" w:fill="FFFFFF"/>
        <w:spacing w:after="101" w:line="240" w:lineRule="auto"/>
        <w:ind w:hanging="1080"/>
        <w:jc w:val="both"/>
        <w:rPr>
          <w:rFonts w:ascii="Arial" w:eastAsia="Times New Roman" w:hAnsi="Arial" w:cs="Arial"/>
          <w:color w:val="2F2F2F"/>
          <w:sz w:val="18"/>
          <w:szCs w:val="18"/>
          <w:lang w:eastAsia="es-MX"/>
        </w:rPr>
      </w:pPr>
      <w:r w:rsidRPr="004C1B5D">
        <w:rPr>
          <w:rFonts w:ascii="Arial" w:eastAsia="Times New Roman" w:hAnsi="Arial" w:cs="Arial"/>
          <w:color w:val="2F2F2F"/>
          <w:sz w:val="20"/>
          <w:szCs w:val="20"/>
          <w:lang w:eastAsia="es-MX"/>
        </w:rPr>
        <w:t>                 </w:t>
      </w:r>
      <w:r w:rsidRPr="004C1B5D">
        <w:rPr>
          <w:rFonts w:ascii="Arial" w:eastAsia="Times New Roman" w:hAnsi="Arial" w:cs="Arial"/>
          <w:color w:val="2F2F2F"/>
          <w:sz w:val="18"/>
          <w:szCs w:val="18"/>
          <w:lang w:eastAsia="es-MX"/>
        </w:rPr>
        <w:t>Para efectos de lo dispuesto en los artículos 84, fracción IV, inciso d) y 103, fracción XXII del CFF, se entiende que cumplen con lo dispuesto en las disposiciones fiscales, aquellos contribuyentes que expidan el CFDI con complemento Carta Porte hasta el 31 de julio de 2023 y este no cuente con la totalidad de los requisitos contenidos en el "Instructivo de llenado del CFDI al que se le incorpora el complemento Carta Porte", publicado en el Portal del SAT.</w:t>
      </w:r>
    </w:p>
    <w:p w:rsidR="004C1B5D" w:rsidRPr="004C1B5D" w:rsidRDefault="004C1B5D" w:rsidP="004C1B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C1B5D">
        <w:rPr>
          <w:rFonts w:ascii="Times" w:eastAsia="Times New Roman" w:hAnsi="Times" w:cs="Times"/>
          <w:b/>
          <w:bCs/>
          <w:color w:val="2F2F2F"/>
          <w:sz w:val="18"/>
          <w:szCs w:val="18"/>
          <w:lang w:eastAsia="es-MX"/>
        </w:rPr>
        <w:t>Transitorios</w:t>
      </w:r>
    </w:p>
    <w:p w:rsidR="004C1B5D" w:rsidRPr="004C1B5D" w:rsidRDefault="004C1B5D" w:rsidP="004C1B5D">
      <w:pPr>
        <w:shd w:val="clear" w:color="auto" w:fill="FFFFFF"/>
        <w:spacing w:after="101" w:line="240" w:lineRule="auto"/>
        <w:ind w:hanging="1152"/>
        <w:jc w:val="both"/>
        <w:rPr>
          <w:rFonts w:ascii="Arial" w:eastAsia="Times New Roman" w:hAnsi="Arial" w:cs="Arial"/>
          <w:color w:val="2F2F2F"/>
          <w:sz w:val="18"/>
          <w:szCs w:val="18"/>
          <w:lang w:eastAsia="es-MX"/>
        </w:rPr>
      </w:pPr>
      <w:r w:rsidRPr="004C1B5D">
        <w:rPr>
          <w:rFonts w:ascii="Arial" w:eastAsia="Times New Roman" w:hAnsi="Arial" w:cs="Arial"/>
          <w:b/>
          <w:bCs/>
          <w:color w:val="000000"/>
          <w:sz w:val="18"/>
          <w:szCs w:val="18"/>
          <w:lang w:eastAsia="es-MX"/>
        </w:rPr>
        <w:t>Primero.</w:t>
      </w:r>
      <w:r w:rsidRPr="004C1B5D">
        <w:rPr>
          <w:rFonts w:ascii="Arial" w:eastAsia="Times New Roman" w:hAnsi="Arial" w:cs="Arial"/>
          <w:color w:val="2F2F2F"/>
          <w:sz w:val="20"/>
          <w:szCs w:val="20"/>
          <w:lang w:eastAsia="es-MX"/>
        </w:rPr>
        <w:t>       </w:t>
      </w:r>
      <w:r w:rsidRPr="004C1B5D">
        <w:rPr>
          <w:rFonts w:ascii="Arial" w:eastAsia="Times New Roman" w:hAnsi="Arial" w:cs="Arial"/>
          <w:color w:val="000000"/>
          <w:sz w:val="18"/>
          <w:szCs w:val="18"/>
          <w:lang w:eastAsia="es-MX"/>
        </w:rPr>
        <w:t>La presente Resolución entrará en vigor el día siguiente al de su publicación en el DOF y su contenido surtirá sus efectos en términos de la regla 1.8., tercer párrafo de la RMF para 2022.</w:t>
      </w:r>
    </w:p>
    <w:p w:rsidR="004C1B5D" w:rsidRPr="004C1B5D" w:rsidRDefault="004C1B5D" w:rsidP="004C1B5D">
      <w:pPr>
        <w:shd w:val="clear" w:color="auto" w:fill="FFFFFF"/>
        <w:spacing w:after="101" w:line="240" w:lineRule="auto"/>
        <w:ind w:firstLine="288"/>
        <w:jc w:val="both"/>
        <w:rPr>
          <w:rFonts w:ascii="Arial" w:eastAsia="Times New Roman" w:hAnsi="Arial" w:cs="Arial"/>
          <w:color w:val="2F2F2F"/>
          <w:sz w:val="18"/>
          <w:szCs w:val="18"/>
          <w:lang w:eastAsia="es-MX"/>
        </w:rPr>
      </w:pPr>
      <w:r w:rsidRPr="004C1B5D">
        <w:rPr>
          <w:rFonts w:ascii="Arial" w:eastAsia="Times New Roman" w:hAnsi="Arial" w:cs="Arial"/>
          <w:color w:val="000000"/>
          <w:sz w:val="18"/>
          <w:szCs w:val="18"/>
          <w:lang w:eastAsia="es-MX"/>
        </w:rPr>
        <w:t>Atentamente.</w:t>
      </w:r>
    </w:p>
    <w:p w:rsidR="004C1B5D" w:rsidRPr="004C1B5D" w:rsidRDefault="004C1B5D" w:rsidP="004C1B5D">
      <w:pPr>
        <w:shd w:val="clear" w:color="auto" w:fill="FFFFFF"/>
        <w:spacing w:after="101" w:line="240" w:lineRule="auto"/>
        <w:ind w:firstLine="288"/>
        <w:jc w:val="both"/>
        <w:rPr>
          <w:rFonts w:ascii="Arial" w:eastAsia="Times New Roman" w:hAnsi="Arial" w:cs="Arial"/>
          <w:color w:val="2F2F2F"/>
          <w:sz w:val="18"/>
          <w:szCs w:val="18"/>
          <w:lang w:eastAsia="es-MX"/>
        </w:rPr>
      </w:pPr>
      <w:r w:rsidRPr="004C1B5D">
        <w:rPr>
          <w:rFonts w:ascii="Arial" w:eastAsia="Times New Roman" w:hAnsi="Arial" w:cs="Arial"/>
          <w:color w:val="000000"/>
          <w:sz w:val="18"/>
          <w:szCs w:val="18"/>
          <w:lang w:eastAsia="es-MX"/>
        </w:rPr>
        <w:t>Ciudad de México, a 6 de diciembre de 2022.- </w:t>
      </w:r>
      <w:r w:rsidRPr="004C1B5D">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4C1B5D">
        <w:rPr>
          <w:rFonts w:ascii="Arial" w:eastAsia="Times New Roman" w:hAnsi="Arial" w:cs="Arial"/>
          <w:color w:val="000000"/>
          <w:sz w:val="18"/>
          <w:szCs w:val="18"/>
          <w:lang w:eastAsia="es-MX"/>
        </w:rPr>
        <w:t>Lic. </w:t>
      </w:r>
      <w:r w:rsidRPr="004C1B5D">
        <w:rPr>
          <w:rFonts w:ascii="Arial" w:eastAsia="Times New Roman" w:hAnsi="Arial" w:cs="Arial"/>
          <w:b/>
          <w:bCs/>
          <w:color w:val="000000"/>
          <w:sz w:val="18"/>
          <w:szCs w:val="18"/>
          <w:lang w:eastAsia="es-MX"/>
        </w:rPr>
        <w:t>Ricardo Carrasco Varona</w:t>
      </w:r>
      <w:r w:rsidRPr="004C1B5D">
        <w:rPr>
          <w:rFonts w:ascii="Arial" w:eastAsia="Times New Roman" w:hAnsi="Arial" w:cs="Arial"/>
          <w:color w:val="000000"/>
          <w:sz w:val="18"/>
          <w:szCs w:val="18"/>
          <w:lang w:eastAsia="es-MX"/>
        </w:rPr>
        <w:t>.- Rúbrica.</w:t>
      </w:r>
    </w:p>
    <w:p w:rsidR="004C1B5D" w:rsidRDefault="004C1B5D" w:rsidP="004C1B5D">
      <w:pPr>
        <w:jc w:val="both"/>
      </w:pPr>
    </w:p>
    <w:sectPr w:rsidR="004C1B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5D"/>
    <w:rsid w:val="004C1B5D"/>
    <w:rsid w:val="009747E2"/>
    <w:rsid w:val="00E16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2571">
      <w:bodyDiv w:val="1"/>
      <w:marLeft w:val="0"/>
      <w:marRight w:val="0"/>
      <w:marTop w:val="0"/>
      <w:marBottom w:val="0"/>
      <w:divBdr>
        <w:top w:val="none" w:sz="0" w:space="0" w:color="auto"/>
        <w:left w:val="none" w:sz="0" w:space="0" w:color="auto"/>
        <w:bottom w:val="none" w:sz="0" w:space="0" w:color="auto"/>
        <w:right w:val="none" w:sz="0" w:space="0" w:color="auto"/>
      </w:divBdr>
      <w:divsChild>
        <w:div w:id="2051605322">
          <w:marLeft w:val="0"/>
          <w:marRight w:val="0"/>
          <w:marTop w:val="101"/>
          <w:marBottom w:val="101"/>
          <w:divBdr>
            <w:top w:val="none" w:sz="0" w:space="0" w:color="auto"/>
            <w:left w:val="none" w:sz="0" w:space="0" w:color="auto"/>
            <w:bottom w:val="none" w:sz="0" w:space="0" w:color="auto"/>
            <w:right w:val="none" w:sz="0" w:space="0" w:color="auto"/>
          </w:divBdr>
        </w:div>
        <w:div w:id="662512706">
          <w:marLeft w:val="0"/>
          <w:marRight w:val="0"/>
          <w:marTop w:val="0"/>
          <w:marBottom w:val="101"/>
          <w:divBdr>
            <w:top w:val="none" w:sz="0" w:space="0" w:color="auto"/>
            <w:left w:val="none" w:sz="0" w:space="0" w:color="auto"/>
            <w:bottom w:val="none" w:sz="0" w:space="0" w:color="auto"/>
            <w:right w:val="none" w:sz="0" w:space="0" w:color="auto"/>
          </w:divBdr>
        </w:div>
        <w:div w:id="9840738">
          <w:marLeft w:val="0"/>
          <w:marRight w:val="0"/>
          <w:marTop w:val="0"/>
          <w:marBottom w:val="101"/>
          <w:divBdr>
            <w:top w:val="none" w:sz="0" w:space="0" w:color="auto"/>
            <w:left w:val="none" w:sz="0" w:space="0" w:color="auto"/>
            <w:bottom w:val="none" w:sz="0" w:space="0" w:color="auto"/>
            <w:right w:val="none" w:sz="0" w:space="0" w:color="auto"/>
          </w:divBdr>
        </w:div>
        <w:div w:id="1427920285">
          <w:marLeft w:val="1440"/>
          <w:marRight w:val="0"/>
          <w:marTop w:val="0"/>
          <w:marBottom w:val="101"/>
          <w:divBdr>
            <w:top w:val="none" w:sz="0" w:space="0" w:color="auto"/>
            <w:left w:val="none" w:sz="0" w:space="0" w:color="auto"/>
            <w:bottom w:val="none" w:sz="0" w:space="0" w:color="auto"/>
            <w:right w:val="none" w:sz="0" w:space="0" w:color="auto"/>
          </w:divBdr>
        </w:div>
        <w:div w:id="2108773978">
          <w:marLeft w:val="1440"/>
          <w:marRight w:val="0"/>
          <w:marTop w:val="0"/>
          <w:marBottom w:val="101"/>
          <w:divBdr>
            <w:top w:val="none" w:sz="0" w:space="0" w:color="auto"/>
            <w:left w:val="none" w:sz="0" w:space="0" w:color="auto"/>
            <w:bottom w:val="none" w:sz="0" w:space="0" w:color="auto"/>
            <w:right w:val="none" w:sz="0" w:space="0" w:color="auto"/>
          </w:divBdr>
        </w:div>
        <w:div w:id="1868447121">
          <w:marLeft w:val="1980"/>
          <w:marRight w:val="0"/>
          <w:marTop w:val="0"/>
          <w:marBottom w:val="101"/>
          <w:divBdr>
            <w:top w:val="none" w:sz="0" w:space="0" w:color="auto"/>
            <w:left w:val="none" w:sz="0" w:space="0" w:color="auto"/>
            <w:bottom w:val="none" w:sz="0" w:space="0" w:color="auto"/>
            <w:right w:val="none" w:sz="0" w:space="0" w:color="auto"/>
          </w:divBdr>
        </w:div>
        <w:div w:id="1951427499">
          <w:marLeft w:val="1980"/>
          <w:marRight w:val="0"/>
          <w:marTop w:val="0"/>
          <w:marBottom w:val="101"/>
          <w:divBdr>
            <w:top w:val="none" w:sz="0" w:space="0" w:color="auto"/>
            <w:left w:val="none" w:sz="0" w:space="0" w:color="auto"/>
            <w:bottom w:val="none" w:sz="0" w:space="0" w:color="auto"/>
            <w:right w:val="none" w:sz="0" w:space="0" w:color="auto"/>
          </w:divBdr>
        </w:div>
        <w:div w:id="424157442">
          <w:marLeft w:val="1980"/>
          <w:marRight w:val="0"/>
          <w:marTop w:val="0"/>
          <w:marBottom w:val="101"/>
          <w:divBdr>
            <w:top w:val="none" w:sz="0" w:space="0" w:color="auto"/>
            <w:left w:val="none" w:sz="0" w:space="0" w:color="auto"/>
            <w:bottom w:val="none" w:sz="0" w:space="0" w:color="auto"/>
            <w:right w:val="none" w:sz="0" w:space="0" w:color="auto"/>
          </w:divBdr>
        </w:div>
        <w:div w:id="1622764844">
          <w:marLeft w:val="1980"/>
          <w:marRight w:val="0"/>
          <w:marTop w:val="0"/>
          <w:marBottom w:val="101"/>
          <w:divBdr>
            <w:top w:val="none" w:sz="0" w:space="0" w:color="auto"/>
            <w:left w:val="none" w:sz="0" w:space="0" w:color="auto"/>
            <w:bottom w:val="none" w:sz="0" w:space="0" w:color="auto"/>
            <w:right w:val="none" w:sz="0" w:space="0" w:color="auto"/>
          </w:divBdr>
        </w:div>
        <w:div w:id="1443186031">
          <w:marLeft w:val="1980"/>
          <w:marRight w:val="0"/>
          <w:marTop w:val="0"/>
          <w:marBottom w:val="101"/>
          <w:divBdr>
            <w:top w:val="none" w:sz="0" w:space="0" w:color="auto"/>
            <w:left w:val="none" w:sz="0" w:space="0" w:color="auto"/>
            <w:bottom w:val="none" w:sz="0" w:space="0" w:color="auto"/>
            <w:right w:val="none" w:sz="0" w:space="0" w:color="auto"/>
          </w:divBdr>
        </w:div>
        <w:div w:id="1532844300">
          <w:marLeft w:val="1980"/>
          <w:marRight w:val="0"/>
          <w:marTop w:val="0"/>
          <w:marBottom w:val="101"/>
          <w:divBdr>
            <w:top w:val="none" w:sz="0" w:space="0" w:color="auto"/>
            <w:left w:val="none" w:sz="0" w:space="0" w:color="auto"/>
            <w:bottom w:val="none" w:sz="0" w:space="0" w:color="auto"/>
            <w:right w:val="none" w:sz="0" w:space="0" w:color="auto"/>
          </w:divBdr>
        </w:div>
        <w:div w:id="987439164">
          <w:marLeft w:val="1980"/>
          <w:marRight w:val="0"/>
          <w:marTop w:val="0"/>
          <w:marBottom w:val="101"/>
          <w:divBdr>
            <w:top w:val="none" w:sz="0" w:space="0" w:color="auto"/>
            <w:left w:val="none" w:sz="0" w:space="0" w:color="auto"/>
            <w:bottom w:val="none" w:sz="0" w:space="0" w:color="auto"/>
            <w:right w:val="none" w:sz="0" w:space="0" w:color="auto"/>
          </w:divBdr>
        </w:div>
        <w:div w:id="902957396">
          <w:marLeft w:val="0"/>
          <w:marRight w:val="0"/>
          <w:marTop w:val="0"/>
          <w:marBottom w:val="101"/>
          <w:divBdr>
            <w:top w:val="none" w:sz="0" w:space="0" w:color="auto"/>
            <w:left w:val="none" w:sz="0" w:space="0" w:color="auto"/>
            <w:bottom w:val="none" w:sz="0" w:space="0" w:color="auto"/>
            <w:right w:val="none" w:sz="0" w:space="0" w:color="auto"/>
          </w:divBdr>
        </w:div>
        <w:div w:id="1667587813">
          <w:marLeft w:val="0"/>
          <w:marRight w:val="0"/>
          <w:marTop w:val="0"/>
          <w:marBottom w:val="101"/>
          <w:divBdr>
            <w:top w:val="none" w:sz="0" w:space="0" w:color="auto"/>
            <w:left w:val="none" w:sz="0" w:space="0" w:color="auto"/>
            <w:bottom w:val="none" w:sz="0" w:space="0" w:color="auto"/>
            <w:right w:val="none" w:sz="0" w:space="0" w:color="auto"/>
          </w:divBdr>
        </w:div>
        <w:div w:id="483931558">
          <w:marLeft w:val="1440"/>
          <w:marRight w:val="0"/>
          <w:marTop w:val="0"/>
          <w:marBottom w:val="101"/>
          <w:divBdr>
            <w:top w:val="none" w:sz="0" w:space="0" w:color="auto"/>
            <w:left w:val="none" w:sz="0" w:space="0" w:color="auto"/>
            <w:bottom w:val="none" w:sz="0" w:space="0" w:color="auto"/>
            <w:right w:val="none" w:sz="0" w:space="0" w:color="auto"/>
          </w:divBdr>
        </w:div>
        <w:div w:id="794370966">
          <w:marLeft w:val="1440"/>
          <w:marRight w:val="0"/>
          <w:marTop w:val="0"/>
          <w:marBottom w:val="101"/>
          <w:divBdr>
            <w:top w:val="none" w:sz="0" w:space="0" w:color="auto"/>
            <w:left w:val="none" w:sz="0" w:space="0" w:color="auto"/>
            <w:bottom w:val="none" w:sz="0" w:space="0" w:color="auto"/>
            <w:right w:val="none" w:sz="0" w:space="0" w:color="auto"/>
          </w:divBdr>
        </w:div>
        <w:div w:id="1057897551">
          <w:marLeft w:val="1987"/>
          <w:marRight w:val="0"/>
          <w:marTop w:val="0"/>
          <w:marBottom w:val="101"/>
          <w:divBdr>
            <w:top w:val="none" w:sz="0" w:space="0" w:color="auto"/>
            <w:left w:val="none" w:sz="0" w:space="0" w:color="auto"/>
            <w:bottom w:val="none" w:sz="0" w:space="0" w:color="auto"/>
            <w:right w:val="none" w:sz="0" w:space="0" w:color="auto"/>
          </w:divBdr>
        </w:div>
        <w:div w:id="1310939187">
          <w:marLeft w:val="1987"/>
          <w:marRight w:val="0"/>
          <w:marTop w:val="0"/>
          <w:marBottom w:val="101"/>
          <w:divBdr>
            <w:top w:val="none" w:sz="0" w:space="0" w:color="auto"/>
            <w:left w:val="none" w:sz="0" w:space="0" w:color="auto"/>
            <w:bottom w:val="none" w:sz="0" w:space="0" w:color="auto"/>
            <w:right w:val="none" w:sz="0" w:space="0" w:color="auto"/>
          </w:divBdr>
        </w:div>
        <w:div w:id="1330330611">
          <w:marLeft w:val="1987"/>
          <w:marRight w:val="0"/>
          <w:marTop w:val="0"/>
          <w:marBottom w:val="101"/>
          <w:divBdr>
            <w:top w:val="none" w:sz="0" w:space="0" w:color="auto"/>
            <w:left w:val="none" w:sz="0" w:space="0" w:color="auto"/>
            <w:bottom w:val="none" w:sz="0" w:space="0" w:color="auto"/>
            <w:right w:val="none" w:sz="0" w:space="0" w:color="auto"/>
          </w:divBdr>
        </w:div>
        <w:div w:id="1971786255">
          <w:marLeft w:val="1980"/>
          <w:marRight w:val="0"/>
          <w:marTop w:val="0"/>
          <w:marBottom w:val="101"/>
          <w:divBdr>
            <w:top w:val="none" w:sz="0" w:space="0" w:color="auto"/>
            <w:left w:val="none" w:sz="0" w:space="0" w:color="auto"/>
            <w:bottom w:val="none" w:sz="0" w:space="0" w:color="auto"/>
            <w:right w:val="none" w:sz="0" w:space="0" w:color="auto"/>
          </w:divBdr>
        </w:div>
        <w:div w:id="1656756532">
          <w:marLeft w:val="1980"/>
          <w:marRight w:val="0"/>
          <w:marTop w:val="0"/>
          <w:marBottom w:val="101"/>
          <w:divBdr>
            <w:top w:val="none" w:sz="0" w:space="0" w:color="auto"/>
            <w:left w:val="none" w:sz="0" w:space="0" w:color="auto"/>
            <w:bottom w:val="none" w:sz="0" w:space="0" w:color="auto"/>
            <w:right w:val="none" w:sz="0" w:space="0" w:color="auto"/>
          </w:divBdr>
        </w:div>
        <w:div w:id="2056732929">
          <w:marLeft w:val="1980"/>
          <w:marRight w:val="0"/>
          <w:marTop w:val="0"/>
          <w:marBottom w:val="101"/>
          <w:divBdr>
            <w:top w:val="none" w:sz="0" w:space="0" w:color="auto"/>
            <w:left w:val="none" w:sz="0" w:space="0" w:color="auto"/>
            <w:bottom w:val="none" w:sz="0" w:space="0" w:color="auto"/>
            <w:right w:val="none" w:sz="0" w:space="0" w:color="auto"/>
          </w:divBdr>
        </w:div>
        <w:div w:id="1521890832">
          <w:marLeft w:val="1980"/>
          <w:marRight w:val="0"/>
          <w:marTop w:val="0"/>
          <w:marBottom w:val="101"/>
          <w:divBdr>
            <w:top w:val="none" w:sz="0" w:space="0" w:color="auto"/>
            <w:left w:val="none" w:sz="0" w:space="0" w:color="auto"/>
            <w:bottom w:val="none" w:sz="0" w:space="0" w:color="auto"/>
            <w:right w:val="none" w:sz="0" w:space="0" w:color="auto"/>
          </w:divBdr>
        </w:div>
        <w:div w:id="702167971">
          <w:marLeft w:val="1440"/>
          <w:marRight w:val="0"/>
          <w:marTop w:val="0"/>
          <w:marBottom w:val="101"/>
          <w:divBdr>
            <w:top w:val="none" w:sz="0" w:space="0" w:color="auto"/>
            <w:left w:val="none" w:sz="0" w:space="0" w:color="auto"/>
            <w:bottom w:val="none" w:sz="0" w:space="0" w:color="auto"/>
            <w:right w:val="none" w:sz="0" w:space="0" w:color="auto"/>
          </w:divBdr>
        </w:div>
        <w:div w:id="111218861">
          <w:marLeft w:val="2520"/>
          <w:marRight w:val="0"/>
          <w:marTop w:val="0"/>
          <w:marBottom w:val="101"/>
          <w:divBdr>
            <w:top w:val="none" w:sz="0" w:space="0" w:color="auto"/>
            <w:left w:val="none" w:sz="0" w:space="0" w:color="auto"/>
            <w:bottom w:val="none" w:sz="0" w:space="0" w:color="auto"/>
            <w:right w:val="none" w:sz="0" w:space="0" w:color="auto"/>
          </w:divBdr>
        </w:div>
        <w:div w:id="1482693404">
          <w:marLeft w:val="2520"/>
          <w:marRight w:val="0"/>
          <w:marTop w:val="0"/>
          <w:marBottom w:val="101"/>
          <w:divBdr>
            <w:top w:val="none" w:sz="0" w:space="0" w:color="auto"/>
            <w:left w:val="none" w:sz="0" w:space="0" w:color="auto"/>
            <w:bottom w:val="none" w:sz="0" w:space="0" w:color="auto"/>
            <w:right w:val="none" w:sz="0" w:space="0" w:color="auto"/>
          </w:divBdr>
        </w:div>
        <w:div w:id="228000801">
          <w:marLeft w:val="1440"/>
          <w:marRight w:val="0"/>
          <w:marTop w:val="0"/>
          <w:marBottom w:val="101"/>
          <w:divBdr>
            <w:top w:val="none" w:sz="0" w:space="0" w:color="auto"/>
            <w:left w:val="none" w:sz="0" w:space="0" w:color="auto"/>
            <w:bottom w:val="none" w:sz="0" w:space="0" w:color="auto"/>
            <w:right w:val="none" w:sz="0" w:space="0" w:color="auto"/>
          </w:divBdr>
        </w:div>
        <w:div w:id="1847279320">
          <w:marLeft w:val="2520"/>
          <w:marRight w:val="0"/>
          <w:marTop w:val="0"/>
          <w:marBottom w:val="101"/>
          <w:divBdr>
            <w:top w:val="none" w:sz="0" w:space="0" w:color="auto"/>
            <w:left w:val="none" w:sz="0" w:space="0" w:color="auto"/>
            <w:bottom w:val="none" w:sz="0" w:space="0" w:color="auto"/>
            <w:right w:val="none" w:sz="0" w:space="0" w:color="auto"/>
          </w:divBdr>
        </w:div>
        <w:div w:id="1967658921">
          <w:marLeft w:val="2520"/>
          <w:marRight w:val="0"/>
          <w:marTop w:val="0"/>
          <w:marBottom w:val="101"/>
          <w:divBdr>
            <w:top w:val="none" w:sz="0" w:space="0" w:color="auto"/>
            <w:left w:val="none" w:sz="0" w:space="0" w:color="auto"/>
            <w:bottom w:val="none" w:sz="0" w:space="0" w:color="auto"/>
            <w:right w:val="none" w:sz="0" w:space="0" w:color="auto"/>
          </w:divBdr>
        </w:div>
        <w:div w:id="1053043494">
          <w:marLeft w:val="0"/>
          <w:marRight w:val="0"/>
          <w:marTop w:val="101"/>
          <w:marBottom w:val="101"/>
          <w:divBdr>
            <w:top w:val="none" w:sz="0" w:space="0" w:color="auto"/>
            <w:left w:val="none" w:sz="0" w:space="0" w:color="auto"/>
            <w:bottom w:val="none" w:sz="0" w:space="0" w:color="auto"/>
            <w:right w:val="none" w:sz="0" w:space="0" w:color="auto"/>
          </w:divBdr>
        </w:div>
        <w:div w:id="1522620895">
          <w:marLeft w:val="1440"/>
          <w:marRight w:val="0"/>
          <w:marTop w:val="0"/>
          <w:marBottom w:val="101"/>
          <w:divBdr>
            <w:top w:val="none" w:sz="0" w:space="0" w:color="auto"/>
            <w:left w:val="none" w:sz="0" w:space="0" w:color="auto"/>
            <w:bottom w:val="none" w:sz="0" w:space="0" w:color="auto"/>
            <w:right w:val="none" w:sz="0" w:space="0" w:color="auto"/>
          </w:divBdr>
        </w:div>
        <w:div w:id="1720015129">
          <w:marLeft w:val="0"/>
          <w:marRight w:val="0"/>
          <w:marTop w:val="0"/>
          <w:marBottom w:val="101"/>
          <w:divBdr>
            <w:top w:val="none" w:sz="0" w:space="0" w:color="auto"/>
            <w:left w:val="none" w:sz="0" w:space="0" w:color="auto"/>
            <w:bottom w:val="none" w:sz="0" w:space="0" w:color="auto"/>
            <w:right w:val="none" w:sz="0" w:space="0" w:color="auto"/>
          </w:divBdr>
        </w:div>
        <w:div w:id="6693323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2022-12-12T14:58:00Z</dcterms:created>
  <dcterms:modified xsi:type="dcterms:W3CDTF">2022-12-12T14:58:00Z</dcterms:modified>
</cp:coreProperties>
</file>