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Aguascalientes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mayo de 2020)</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AGUASCALIENTES.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Aguascalientes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Aguascalientes</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23 de julio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36, 46 fracción VII, inciso a), 48, 49, 50 y 63 de la Constitución Política del Estado de Aguascalientes; 1, 2, 3, 4, 9, 10, fracción IV, 11, 15, 18, fracción I y III, 22, 27, fracciones II, X, XI y XIII, 29, 32 y 34, fracciones IV, V y VI, de la Ley Orgánica de la Administración Pública del Estado de Aguascalientes, 11 fracción XXVII del Reglamento Interior de la Secretaría General de Gobierno del Estado de Aguascalientes; 1, 2, 5, 6, fracciones V, XV, XVIII, XXIII y XXVI del Reglamento Interior de la Secretaría de Finanzas del Estado de Aguascalientes,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Aguascalientes</w:t>
      </w:r>
      <w:r w:rsidDel="00000000" w:rsidR="00000000" w:rsidRPr="00000000">
        <w:rPr>
          <w:rFonts w:ascii="Verdana" w:cs="Verdana" w:eastAsia="Verdana" w:hAnsi="Verdana"/>
          <w:color w:val="2f2f2f"/>
          <w:sz w:val="20"/>
          <w:szCs w:val="20"/>
          <w:rtl w:val="0"/>
        </w:rPr>
        <w:t xml:space="preserve">, publicado en el Diario Oficial de la Federación el 23 de julio de 2015 y en vigor a partir del 24 de julio de 2015, por lo que las partes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23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marzo de 2020.- Por el Estado: el Gobernador Constitucional, </w:t>
      </w:r>
      <w:r w:rsidDel="00000000" w:rsidR="00000000" w:rsidRPr="00000000">
        <w:rPr>
          <w:rFonts w:ascii="Verdana" w:cs="Verdana" w:eastAsia="Verdana" w:hAnsi="Verdana"/>
          <w:b w:val="1"/>
          <w:color w:val="2f2f2f"/>
          <w:sz w:val="20"/>
          <w:szCs w:val="20"/>
          <w:rtl w:val="0"/>
        </w:rPr>
        <w:t xml:space="preserve">Martín Orozco Sandoval</w:t>
      </w:r>
      <w:r w:rsidDel="00000000" w:rsidR="00000000" w:rsidRPr="00000000">
        <w:rPr>
          <w:rFonts w:ascii="Verdana" w:cs="Verdana" w:eastAsia="Verdana" w:hAnsi="Verdana"/>
          <w:color w:val="2f2f2f"/>
          <w:sz w:val="20"/>
          <w:szCs w:val="20"/>
          <w:rtl w:val="0"/>
        </w:rPr>
        <w:t xml:space="preserve">.- Rúbrica.- La Secretaria General de Gobierno, </w:t>
      </w:r>
      <w:r w:rsidDel="00000000" w:rsidR="00000000" w:rsidRPr="00000000">
        <w:rPr>
          <w:rFonts w:ascii="Verdana" w:cs="Verdana" w:eastAsia="Verdana" w:hAnsi="Verdana"/>
          <w:b w:val="1"/>
          <w:color w:val="2f2f2f"/>
          <w:sz w:val="20"/>
          <w:szCs w:val="20"/>
          <w:rtl w:val="0"/>
        </w:rPr>
        <w:t xml:space="preserve">Siomar Eline Estrada Cruz</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Carlos de Jesús Magallanes García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