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09" w:rsidRPr="00841D9A" w:rsidRDefault="00E47A09" w:rsidP="00E47A09">
      <w:pPr>
        <w:jc w:val="center"/>
        <w:rPr>
          <w:rFonts w:ascii="Verdana" w:eastAsia="Verdana" w:hAnsi="Verdana" w:cs="Verdana"/>
          <w:b/>
          <w:color w:val="0000FF"/>
          <w:sz w:val="24"/>
          <w:szCs w:val="24"/>
        </w:rPr>
      </w:pPr>
      <w:r w:rsidRPr="00E47A09">
        <w:rPr>
          <w:rFonts w:ascii="Verdana" w:eastAsia="Verdana" w:hAnsi="Verdana" w:cs="Verdana"/>
          <w:b/>
          <w:color w:val="0000FF"/>
          <w:sz w:val="24"/>
          <w:szCs w:val="24"/>
        </w:rPr>
        <w:t>ACUERDO G/JGA/10/2023 mediante el cual se reforma al diverso G/JGA/34/2020 por el que se establecieron las Reglas de Operación del Sistema Institucional de Archivos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julio de 2023</w:t>
      </w:r>
      <w:r w:rsidRPr="0099730F">
        <w:rPr>
          <w:rFonts w:ascii="Verdana" w:eastAsia="Verdana" w:hAnsi="Verdana" w:cs="Verdana"/>
          <w:b/>
          <w:color w:val="0000FF"/>
          <w:sz w:val="24"/>
          <w:szCs w:val="24"/>
        </w:rPr>
        <w:t>)</w:t>
      </w:r>
      <w:bookmarkEnd w:id="0"/>
    </w:p>
    <w:p w:rsidR="00AE5E32" w:rsidRDefault="00E47A09" w:rsidP="00E47A09">
      <w:pPr>
        <w:jc w:val="both"/>
        <w:rPr>
          <w:rFonts w:ascii="Arial" w:hAnsi="Arial" w:cs="Arial"/>
          <w:b/>
          <w:color w:val="2F2F2F"/>
          <w:sz w:val="18"/>
          <w:szCs w:val="18"/>
          <w:shd w:val="clear" w:color="auto" w:fill="FFFFFF"/>
        </w:rPr>
      </w:pPr>
      <w:r w:rsidRPr="00E47A09">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E47A09" w:rsidRPr="00E47A09" w:rsidRDefault="00E47A09" w:rsidP="00E47A09">
      <w:pPr>
        <w:spacing w:after="101" w:line="240" w:lineRule="auto"/>
        <w:jc w:val="center"/>
        <w:rPr>
          <w:rFonts w:ascii="Times New Roman" w:eastAsia="Times New Roman" w:hAnsi="Times New Roman" w:cs="Times New Roman"/>
          <w:b/>
          <w:bCs/>
          <w:sz w:val="18"/>
          <w:szCs w:val="18"/>
          <w:lang w:eastAsia="es-MX"/>
        </w:rPr>
      </w:pPr>
      <w:r w:rsidRPr="00E47A09">
        <w:rPr>
          <w:rFonts w:ascii="Times" w:eastAsia="Times New Roman" w:hAnsi="Times" w:cs="Times"/>
          <w:b/>
          <w:bCs/>
          <w:sz w:val="18"/>
          <w:szCs w:val="18"/>
          <w:lang w:eastAsia="es-MX"/>
        </w:rPr>
        <w:t>ACUERDO G/JGA/10/2023</w:t>
      </w:r>
    </w:p>
    <w:p w:rsidR="00E47A09" w:rsidRPr="00E47A09" w:rsidRDefault="00E47A09" w:rsidP="00E47A09">
      <w:pPr>
        <w:spacing w:after="101" w:line="240" w:lineRule="auto"/>
        <w:ind w:firstLine="288"/>
        <w:jc w:val="both"/>
        <w:rPr>
          <w:rFonts w:ascii="Times New Roman" w:eastAsia="Times New Roman" w:hAnsi="Times New Roman" w:cs="Times New Roman"/>
          <w:sz w:val="16"/>
          <w:szCs w:val="16"/>
          <w:lang w:eastAsia="es-MX"/>
        </w:rPr>
      </w:pPr>
      <w:r w:rsidRPr="00E47A09">
        <w:rPr>
          <w:rFonts w:ascii="Arial" w:eastAsia="Times New Roman" w:hAnsi="Arial" w:cs="Arial"/>
          <w:sz w:val="16"/>
          <w:szCs w:val="16"/>
          <w:lang w:eastAsia="es-MX"/>
        </w:rPr>
        <w:t>REFORMA AL DIVERSO G/JGA/34/2020 POR EL QUE SE ESTABLECIERON LAS REGLAS DE OPERACIÓN DEL SISTEMA INSTITUCIONAL DE ARCHIVOS DEL TRIBUNAL FEDERAL DE JUSTICIA ADMINISTRATIVA</w:t>
      </w:r>
    </w:p>
    <w:p w:rsidR="00E47A09" w:rsidRPr="00E47A09" w:rsidRDefault="00E47A09" w:rsidP="00E47A09">
      <w:pPr>
        <w:spacing w:after="101" w:line="240" w:lineRule="auto"/>
        <w:jc w:val="center"/>
        <w:rPr>
          <w:rFonts w:ascii="Times New Roman" w:eastAsia="Times New Roman" w:hAnsi="Times New Roman" w:cs="Times New Roman"/>
          <w:b/>
          <w:bCs/>
          <w:sz w:val="18"/>
          <w:szCs w:val="18"/>
          <w:lang w:eastAsia="es-MX"/>
        </w:rPr>
      </w:pPr>
      <w:r w:rsidRPr="00E47A09">
        <w:rPr>
          <w:rFonts w:ascii="Times" w:eastAsia="Times New Roman" w:hAnsi="Times" w:cs="Times"/>
          <w:b/>
          <w:bCs/>
          <w:sz w:val="18"/>
          <w:szCs w:val="18"/>
          <w:lang w:eastAsia="es-MX"/>
        </w:rPr>
        <w:t>CONSIDERANDO</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1. </w:t>
      </w:r>
      <w:r w:rsidRPr="00E47A09">
        <w:rPr>
          <w:rFonts w:ascii="Arial" w:eastAsia="Times New Roman" w:hAnsi="Arial" w:cs="Arial"/>
          <w:sz w:val="18"/>
          <w:szCs w:val="18"/>
          <w:lang w:eastAsia="es-MX"/>
        </w:rPr>
        <w:t>Que en términos del artículo 6º, Apartado A, fracciones I y V, de la Constitución Política de los Estados Unidos Mexicanos, las autoridades, entidades, órganos y organismos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2.</w:t>
      </w:r>
      <w:r w:rsidRPr="00E47A09">
        <w:rPr>
          <w:rFonts w:ascii="Arial" w:eastAsia="Times New Roman" w:hAnsi="Arial" w:cs="Arial"/>
          <w:sz w:val="18"/>
          <w:szCs w:val="18"/>
          <w:lang w:eastAsia="es-MX"/>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jurisdicción plena; que ejercerá el presupuesto aprobado por la Cámara de Diputados con autonomía, conforme a la Ley Federal de Presupuesto y Responsabilidad Hacendaria y las disposiciones legales aplicables, bajo los principios de legalidad, certeza, independencia, honestidad, responsabilidad y transparencia. Su administración será eficiente para lograr la eficacia de la justicia administrativa bajo el principio de rendición de cuentas.</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3.</w:t>
      </w:r>
      <w:r w:rsidRPr="00E47A09">
        <w:rPr>
          <w:rFonts w:ascii="Arial" w:eastAsia="Times New Roman" w:hAnsi="Arial" w:cs="Arial"/>
          <w:sz w:val="18"/>
          <w:szCs w:val="18"/>
          <w:lang w:eastAsia="es-MX"/>
        </w:rPr>
        <w:t> Que los artículos 1, 18 y 24, fracción IV, de la Ley General de Transparencia y Acceso a la Información Pública, 11, fracción IV, y 12 de la Ley Federal de Transparencia y Acceso a la Información Pública, señalan que los Sujetos Obligados deberán documentar todo acto que derive del ejercicio de sus facultades, competencias o funciones, así como constituir y mantener actualizados sus sistemas de archivo y gestión documental, conforme a la normatividad aplicable.</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4.</w:t>
      </w:r>
      <w:r w:rsidRPr="00E47A09">
        <w:rPr>
          <w:rFonts w:ascii="Arial" w:eastAsia="Times New Roman" w:hAnsi="Arial" w:cs="Arial"/>
          <w:sz w:val="18"/>
          <w:szCs w:val="18"/>
          <w:lang w:eastAsia="es-MX"/>
        </w:rPr>
        <w:t> Que el artículo 4, fracción X, de la Ley General de Archivos establece que el Área Coordinadora de Archivos es la instancia encargada de promover y vigilar el cumplimiento de las disposiciones en materia de gestión documental y administración de archivos, así como de coordinar las áreas operativas del sistema institucional de archivos.</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5. </w:t>
      </w:r>
      <w:r w:rsidRPr="00E47A09">
        <w:rPr>
          <w:rFonts w:ascii="Arial" w:eastAsia="Times New Roman" w:hAnsi="Arial" w:cs="Arial"/>
          <w:sz w:val="18"/>
          <w:szCs w:val="18"/>
          <w:lang w:eastAsia="es-MX"/>
        </w:rPr>
        <w:t>Que el artículo 26 de la Ley General de Archivos dispone que los sujetos obligados deberán elaborar un informe anual detallando el cumplimiento del programa anual de desarrollo archivístico y publicarlo en su portal electrónico, a más tardar el último día del mes de enero del siguiente año de su ejecución.</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6. </w:t>
      </w:r>
      <w:r w:rsidRPr="00E47A09">
        <w:rPr>
          <w:rFonts w:ascii="Arial" w:eastAsia="Times New Roman" w:hAnsi="Arial" w:cs="Arial"/>
          <w:sz w:val="18"/>
          <w:szCs w:val="18"/>
          <w:lang w:eastAsia="es-MX"/>
        </w:rPr>
        <w:t>Que los artículos 11, fracción V, 50, 51 y 52 de la Ley General de Archivos, señalan que los Sujetos Obligados deben conformar un grupo interdisciplinario en términos de las disposiciones reglamentarias que coadyuve en la valoración documental con los responsables de archivos en el análisis de los procesos y procedimientos institucionales que dan origen a la documentación que integran los expedientes de cada serie documental, para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7. </w:t>
      </w:r>
      <w:r w:rsidRPr="00E47A09">
        <w:rPr>
          <w:rFonts w:ascii="Arial" w:eastAsia="Times New Roman" w:hAnsi="Arial" w:cs="Arial"/>
          <w:sz w:val="18"/>
          <w:szCs w:val="18"/>
          <w:lang w:eastAsia="es-MX"/>
        </w:rPr>
        <w:t xml:space="preserve">Que de conformidad con los artículos 21 y 23, fracciones II, XXVI, XXIX, XXX y XXXIX, de la Ley Orgánica del Tribunal Federal de Justicia Administrativa, la Junta de Gobierno y Administración tiene a su cargo la administración, vigilancia, disciplina y carrera jurisdiccional, y contará con autonomía técnica y de gestión, para el adecuado cumplimento de sus funciones además de expedir los acuerdos necesarios para el buen funcionamiento del Tribunal, dirigir su buena marcha dictando las medidas necesarias para el </w:t>
      </w:r>
      <w:r w:rsidRPr="00E47A09">
        <w:rPr>
          <w:rFonts w:ascii="Arial" w:eastAsia="Times New Roman" w:hAnsi="Arial" w:cs="Arial"/>
          <w:sz w:val="18"/>
          <w:szCs w:val="18"/>
          <w:lang w:eastAsia="es-MX"/>
        </w:rPr>
        <w:lastRenderedPageBreak/>
        <w:t>despacho pronto y expedito de los asuntos administrativos, y aplicará las sanciones que correspondan, supervisar la correcta operación y funcionamiento de los archivos, ordenar la baja de expedientes totalmente concluidos con tres años de anterioridad, así como resolver los demás asuntos que señalen las disposiciones aplicables.</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8. </w:t>
      </w:r>
      <w:r w:rsidRPr="00E47A09">
        <w:rPr>
          <w:rFonts w:ascii="Arial" w:eastAsia="Times New Roman" w:hAnsi="Arial" w:cs="Arial"/>
          <w:sz w:val="18"/>
          <w:szCs w:val="18"/>
          <w:lang w:eastAsia="es-MX"/>
        </w:rPr>
        <w:t>Que por Acuerdo G/JGA/4/2023, aprobado en sesión de diecinueve de enero de dos mil veintitrés, se autorizó el Programa Anual de Desarrollo Archivístico (PADA) para el ejercicio fiscal 2023 del Tribunal Federal de Justicia Administrativa, que en su apartado III, numeral 1, inciso E), contempla como actividad la reforma del Acuerdo G/JGA/34/2020 por el que se establecieron las Reglas de Operación del Sistema Institucional de Archivos del Tribunal Federal de Justicia Administrativa.</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sz w:val="18"/>
          <w:szCs w:val="18"/>
          <w:lang w:eastAsia="es-MX"/>
        </w:rPr>
        <w:t>Con fundamento en lo dispuesto por los artículos 6º, Apartado A, fracciones I y V, y 73, fracción XXIX-H, de la Constitución Política de los Estados Unidos Mexicanos; 1, 18, y 24, fracción IV, de la Ley General de Transparencia y Acceso a la Información Pública; 11, fracción IV, y 12 de la Ley Federal de Transparencia y Acceso a la Información Pública; 4, fracción X, 11, fracción V, 26 50, 51 y 52 de la Ley General de Archivos; 1, segundo y quinto párrafos, 21 y 23, fracciones II, XXVI, XXIX, XXX y XXXIX, de la Ley Orgánica del Tribunal Federal de Justicia Administrativa; la Junta de Gobierno y Administración emite el siguiente:</w:t>
      </w:r>
    </w:p>
    <w:p w:rsidR="00E47A09" w:rsidRPr="00E47A09" w:rsidRDefault="00E47A09" w:rsidP="00E47A09">
      <w:pPr>
        <w:spacing w:after="101" w:line="240" w:lineRule="auto"/>
        <w:jc w:val="center"/>
        <w:rPr>
          <w:rFonts w:ascii="Times New Roman" w:eastAsia="Times New Roman" w:hAnsi="Times New Roman" w:cs="Times New Roman"/>
          <w:b/>
          <w:bCs/>
          <w:sz w:val="18"/>
          <w:szCs w:val="18"/>
          <w:lang w:eastAsia="es-MX"/>
        </w:rPr>
      </w:pPr>
      <w:r w:rsidRPr="00E47A09">
        <w:rPr>
          <w:rFonts w:ascii="Times" w:eastAsia="Times New Roman" w:hAnsi="Times" w:cs="Times"/>
          <w:b/>
          <w:bCs/>
          <w:sz w:val="18"/>
          <w:szCs w:val="18"/>
          <w:lang w:eastAsia="es-MX"/>
        </w:rPr>
        <w:t>ACUERDO</w:t>
      </w:r>
    </w:p>
    <w:p w:rsidR="00E47A09" w:rsidRPr="00E47A09" w:rsidRDefault="00E47A09" w:rsidP="00E47A09">
      <w:pPr>
        <w:spacing w:after="101" w:line="240" w:lineRule="auto"/>
        <w:ind w:firstLine="288"/>
        <w:jc w:val="both"/>
        <w:rPr>
          <w:rFonts w:ascii="Times New Roman" w:eastAsia="Times New Roman" w:hAnsi="Times New Roman" w:cs="Times New Roman"/>
          <w:sz w:val="18"/>
          <w:szCs w:val="18"/>
          <w:lang w:eastAsia="es-MX"/>
        </w:rPr>
      </w:pPr>
      <w:r w:rsidRPr="00E47A09">
        <w:rPr>
          <w:rFonts w:ascii="Arial" w:eastAsia="Times New Roman" w:hAnsi="Arial" w:cs="Arial"/>
          <w:b/>
          <w:bCs/>
          <w:sz w:val="18"/>
          <w:szCs w:val="18"/>
          <w:lang w:eastAsia="es-MX"/>
        </w:rPr>
        <w:t>ÚNICO.- </w:t>
      </w:r>
      <w:r w:rsidRPr="00E47A09">
        <w:rPr>
          <w:rFonts w:ascii="Arial" w:eastAsia="Times New Roman" w:hAnsi="Arial" w:cs="Arial"/>
          <w:sz w:val="18"/>
          <w:szCs w:val="18"/>
          <w:lang w:eastAsia="es-MX"/>
        </w:rPr>
        <w:t>Se reforman el primer párrafo del artículo décimo primero y el artículo vigésimo cuarto; se adicionan las fracciones XI y XII al artículo décimo segundo, recorriéndose la subsecuente; se adiciona un Título Cuarto "</w:t>
      </w:r>
      <w:r w:rsidRPr="00E47A09">
        <w:rPr>
          <w:rFonts w:ascii="Arial" w:eastAsia="Times New Roman" w:hAnsi="Arial" w:cs="Arial"/>
          <w:i/>
          <w:iCs/>
          <w:sz w:val="18"/>
          <w:szCs w:val="18"/>
          <w:lang w:eastAsia="es-MX"/>
        </w:rPr>
        <w:t>DEL GRUPO INTERDISCIPLINARIO</w:t>
      </w:r>
      <w:r w:rsidRPr="00E47A09">
        <w:rPr>
          <w:rFonts w:ascii="Arial" w:eastAsia="Times New Roman" w:hAnsi="Arial" w:cs="Arial"/>
          <w:sz w:val="18"/>
          <w:szCs w:val="18"/>
          <w:lang w:eastAsia="es-MX"/>
        </w:rPr>
        <w:t>", Capítulo Único "</w:t>
      </w:r>
      <w:r w:rsidRPr="00E47A09">
        <w:rPr>
          <w:rFonts w:ascii="Arial" w:eastAsia="Times New Roman" w:hAnsi="Arial" w:cs="Arial"/>
          <w:i/>
          <w:iCs/>
          <w:sz w:val="18"/>
          <w:szCs w:val="18"/>
          <w:lang w:eastAsia="es-MX"/>
        </w:rPr>
        <w:t>INTEGRACIÓN Y FUNCIONAMIENTO</w:t>
      </w:r>
      <w:r w:rsidRPr="00E47A09">
        <w:rPr>
          <w:rFonts w:ascii="Arial" w:eastAsia="Times New Roman" w:hAnsi="Arial" w:cs="Arial"/>
          <w:sz w:val="18"/>
          <w:szCs w:val="18"/>
          <w:lang w:eastAsia="es-MX"/>
        </w:rPr>
        <w:t>", integrado por los artículos cuadragésimo octavo y cuadragésimo noveno, del Acuerdo G/JGA/34/2020 por el que se establecieron las Reglas de Operación del Sistema Institucional de Archivos del Tribunal Federal de Justicia Administrativa; para quedar en los siguientes términos:</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Décimo primero.-</w:t>
      </w:r>
      <w:r w:rsidRPr="00E47A09">
        <w:rPr>
          <w:rFonts w:ascii="Arial" w:eastAsia="Times New Roman" w:hAnsi="Arial" w:cs="Arial"/>
          <w:i/>
          <w:iCs/>
          <w:sz w:val="18"/>
          <w:szCs w:val="18"/>
          <w:lang w:eastAsia="es-MX"/>
        </w:rPr>
        <w:t> La Dirección General será el área coordinadora encargada de promover y vigilar el cumplimiento de las disposiciones en materia de gestión documental y administración de archivos, así como de coordinar las áreas operativas del sistema institucional de archivos, para lo cual podrá establecer programas de trabajo en coordinación con los Magistrados Visitadores, y en su caso, el Órgano Interno de Control.</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w:t>
      </w:r>
      <w:r w:rsidRPr="00E47A09">
        <w:rPr>
          <w:rFonts w:ascii="Arial" w:eastAsia="Times New Roman" w:hAnsi="Arial" w:cs="Arial"/>
          <w:i/>
          <w:iCs/>
          <w:sz w:val="18"/>
          <w:szCs w:val="18"/>
          <w:lang w:eastAsia="es-MX"/>
        </w:rPr>
        <w:t>)".</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Décimo segundo.- </w:t>
      </w: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w:t>
      </w:r>
      <w:r w:rsidRPr="00E47A09">
        <w:rPr>
          <w:rFonts w:ascii="Arial" w:eastAsia="Times New Roman" w:hAnsi="Arial" w:cs="Arial"/>
          <w:i/>
          <w:iCs/>
          <w:sz w:val="18"/>
          <w:szCs w:val="18"/>
          <w:lang w:eastAsia="es-MX"/>
        </w:rPr>
        <w:t>)</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XI. </w:t>
      </w:r>
      <w:r w:rsidRPr="00E47A09">
        <w:rPr>
          <w:rFonts w:ascii="Arial" w:eastAsia="Times New Roman" w:hAnsi="Arial" w:cs="Arial"/>
          <w:i/>
          <w:iCs/>
          <w:sz w:val="18"/>
          <w:szCs w:val="18"/>
          <w:lang w:eastAsia="es-MX"/>
        </w:rPr>
        <w:t>Propiciar la integración y formalización del grupo interdisciplinario, convocar a las reuniones de trabajo y fungir como secretario técnico en las mismas, por lo que será el encargado de llevar el registro y seguimiento de los acuerdos y compromisos establecidos, conservando las constancias respectivas.</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XII.</w:t>
      </w:r>
      <w:r w:rsidRPr="00E47A09">
        <w:rPr>
          <w:rFonts w:ascii="Arial" w:eastAsia="Times New Roman" w:hAnsi="Arial" w:cs="Arial"/>
          <w:i/>
          <w:iCs/>
          <w:sz w:val="18"/>
          <w:szCs w:val="18"/>
          <w:lang w:eastAsia="es-MX"/>
        </w:rPr>
        <w:t> Durante el proceso de elaboración del catálogo de disposición documental, deberá observar lo establecido en el artículo 51 de la Ley.</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XIII.</w:t>
      </w:r>
      <w:r w:rsidRPr="00E47A09">
        <w:rPr>
          <w:rFonts w:ascii="Arial" w:eastAsia="Times New Roman" w:hAnsi="Arial" w:cs="Arial"/>
          <w:i/>
          <w:iCs/>
          <w:sz w:val="18"/>
          <w:szCs w:val="18"/>
          <w:lang w:eastAsia="es-MX"/>
        </w:rPr>
        <w:t> Las demás que establezcan las disposiciones jurídicas aplicables para el área coordinadora de archivos."</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Vigésimo cuarto.-</w:t>
      </w:r>
      <w:r w:rsidRPr="00E47A09">
        <w:rPr>
          <w:rFonts w:ascii="Arial" w:eastAsia="Times New Roman" w:hAnsi="Arial" w:cs="Arial"/>
          <w:i/>
          <w:iCs/>
          <w:sz w:val="18"/>
          <w:szCs w:val="18"/>
          <w:lang w:eastAsia="es-MX"/>
        </w:rPr>
        <w:t> La Dirección General elaborará y presentará a la Junta un informe anual detallando el cumplimiento del programa anual, el cual deberá ser publicado en el portal electrónico institucional, a más tardar el último día del mes de enero del siguiente año de la ejecución de dicho programa."</w:t>
      </w:r>
    </w:p>
    <w:p w:rsidR="00E47A09" w:rsidRPr="00E47A09" w:rsidRDefault="00E47A09" w:rsidP="00E47A09">
      <w:pPr>
        <w:spacing w:after="101" w:line="240" w:lineRule="auto"/>
        <w:jc w:val="center"/>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w:t>
      </w:r>
      <w:r w:rsidRPr="00E47A09">
        <w:rPr>
          <w:rFonts w:ascii="Arial" w:eastAsia="Times New Roman" w:hAnsi="Arial" w:cs="Arial"/>
          <w:b/>
          <w:bCs/>
          <w:i/>
          <w:iCs/>
          <w:sz w:val="18"/>
          <w:szCs w:val="18"/>
          <w:lang w:eastAsia="es-MX"/>
        </w:rPr>
        <w:t>TÍTULO CUARTO</w:t>
      </w:r>
    </w:p>
    <w:p w:rsidR="00E47A09" w:rsidRPr="00E47A09" w:rsidRDefault="00E47A09" w:rsidP="00E47A09">
      <w:pPr>
        <w:spacing w:after="101" w:line="240" w:lineRule="auto"/>
        <w:jc w:val="center"/>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DEL GRUPO INTERDISCIPLINARIO</w:t>
      </w:r>
    </w:p>
    <w:p w:rsidR="00E47A09" w:rsidRPr="00E47A09" w:rsidRDefault="00E47A09" w:rsidP="00E47A09">
      <w:pPr>
        <w:spacing w:after="101" w:line="240" w:lineRule="auto"/>
        <w:jc w:val="center"/>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CAPÍTULO ÚNICO</w:t>
      </w:r>
    </w:p>
    <w:p w:rsidR="00E47A09" w:rsidRPr="00E47A09" w:rsidRDefault="00E47A09" w:rsidP="00E47A09">
      <w:pPr>
        <w:spacing w:after="101" w:line="240" w:lineRule="auto"/>
        <w:jc w:val="center"/>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INTEGRACIÓN Y FUNCIONAMIENTO</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b/>
          <w:bCs/>
          <w:i/>
          <w:iCs/>
          <w:sz w:val="18"/>
          <w:szCs w:val="18"/>
          <w:lang w:eastAsia="es-MX"/>
        </w:rPr>
        <w:t>Cuadragésimo octavo.-</w:t>
      </w:r>
      <w:r w:rsidRPr="00E47A09">
        <w:rPr>
          <w:rFonts w:ascii="Arial" w:eastAsia="Times New Roman" w:hAnsi="Arial" w:cs="Arial"/>
          <w:i/>
          <w:iCs/>
          <w:sz w:val="18"/>
          <w:szCs w:val="18"/>
          <w:lang w:eastAsia="es-MX"/>
        </w:rPr>
        <w:t> El Grupo Interdisciplinario será el encargado, en el ámbito de sus atribuciones, de coadyuvar en el análisis de los procesos y procedimientos institucionales que dan origen a la documentación que integran los expedientes de cada serie documental, con el fin de colaborar con las áreas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rsidR="00E47A09" w:rsidRPr="00E47A09" w:rsidRDefault="00E47A09" w:rsidP="00E47A09">
      <w:pPr>
        <w:spacing w:after="101" w:line="240" w:lineRule="auto"/>
        <w:jc w:val="both"/>
        <w:rPr>
          <w:rFonts w:ascii="Times New Roman" w:eastAsia="Times New Roman" w:hAnsi="Times New Roman" w:cs="Times New Roman"/>
          <w:sz w:val="18"/>
          <w:szCs w:val="18"/>
          <w:lang w:eastAsia="es-MX"/>
        </w:rPr>
      </w:pPr>
      <w:r w:rsidRPr="00E47A09">
        <w:rPr>
          <w:rFonts w:ascii="Arial" w:eastAsia="Times New Roman" w:hAnsi="Arial" w:cs="Arial"/>
          <w:i/>
          <w:iCs/>
          <w:sz w:val="18"/>
          <w:szCs w:val="18"/>
          <w:lang w:eastAsia="es-MX"/>
        </w:rPr>
        <w:t>Estará conformado por los siguientes servidores públicos:</w:t>
      </w:r>
    </w:p>
    <w:p w:rsidR="00E47A09" w:rsidRPr="00E47A09" w:rsidRDefault="00E47A09" w:rsidP="00E47A09">
      <w:pPr>
        <w:spacing w:after="101" w:line="240" w:lineRule="auto"/>
        <w:ind w:hanging="576"/>
        <w:jc w:val="both"/>
        <w:rPr>
          <w:rFonts w:ascii="Times New Roman" w:eastAsia="Times New Roman" w:hAnsi="Times New Roman" w:cs="Times New Roman"/>
          <w:sz w:val="18"/>
          <w:szCs w:val="18"/>
          <w:lang w:eastAsia="es-MX"/>
        </w:rPr>
      </w:pPr>
      <w:r w:rsidRPr="00E47A09">
        <w:rPr>
          <w:rFonts w:ascii="Times New Roman" w:eastAsia="Times New Roman" w:hAnsi="Times New Roman" w:cs="Times New Roman"/>
          <w:sz w:val="18"/>
          <w:szCs w:val="18"/>
          <w:lang w:eastAsia="es-MX"/>
        </w:rPr>
        <w:t> </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Secretaría Operativa de Administración, quien presidirá las sesiones;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Secretaría Operativa de Tecnologías de la Información y las Comunicaciones;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lastRenderedPageBreak/>
        <w:t>III.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Secretaría General de Acuerdos;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IV.</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Coordinación de Transparencia, Acceso a la Información y Protección de Datos Personales;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del Órgano Interno de Control;</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Unidad de Asuntos Jurídicos;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titular de la Dirección General de Archivos, quien tendrá la calidad de Secretario Técnico;</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VIII.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El Encargado del Archivo General Central Vigente de Concentración;</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IX.</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Las áreas productoras de la información, que asistirán cuando se trata de asuntos de su competencia.</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i/>
          <w:iCs/>
          <w:color w:val="2F2F2F"/>
          <w:sz w:val="18"/>
          <w:szCs w:val="18"/>
          <w:lang w:eastAsia="es-MX"/>
        </w:rPr>
        <w:t>Los referidos servidores públicos podrán designar un suplente permanente en los términos que se establezcan en las reglas de operación que al efecto se emitan.</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Cuadragésimo noveno.-</w:t>
      </w:r>
      <w:r w:rsidRPr="00E47A09">
        <w:rPr>
          <w:rFonts w:ascii="Arial" w:eastAsia="Times New Roman" w:hAnsi="Arial" w:cs="Arial"/>
          <w:i/>
          <w:iCs/>
          <w:color w:val="2F2F2F"/>
          <w:sz w:val="18"/>
          <w:szCs w:val="18"/>
          <w:lang w:eastAsia="es-MX"/>
        </w:rPr>
        <w:t> Son actividades del Grupo Interdisciplinario, las siguientes: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Formular opiniones, referencias técnicas sobre valores documentales, pautas de comportamiento y recomendaciones sobre la disposición documental de las series documentales;</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Considerar, en la formulación de referencias técnicas para la determinación de valores documentales, vigencias, plazos de conservación y disposición documental de las series, la planeación estratégica y normatividad, así como los criterios de procedencia, orden original, diplomático, contexto, contenido y utilización establecidos en la Ley.</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III.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Sugerir que lo establecido en las fichas técnicas de valoración documental esté alineado a la operación funcional, misional y objetivos estratégicos del tribunal;</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IV.</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Advertir que en las fichas técnicas de valoración documental se incluya y se respete el marco normativo que regula la gestión institucional;</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Recomendar que se realicen procesos de automatización en apego a lo establecido para la gestión documental y administración de archivos, y</w:t>
      </w:r>
    </w:p>
    <w:p w:rsidR="00E47A09" w:rsidRPr="00E47A09" w:rsidRDefault="00E47A09" w:rsidP="00E47A09">
      <w:pPr>
        <w:shd w:val="clear" w:color="auto" w:fill="FFFFFF"/>
        <w:spacing w:after="101" w:line="240" w:lineRule="auto"/>
        <w:ind w:hanging="576"/>
        <w:jc w:val="both"/>
        <w:rPr>
          <w:rFonts w:ascii="Arial" w:eastAsia="Times New Roman" w:hAnsi="Arial" w:cs="Arial"/>
          <w:color w:val="2F2F2F"/>
          <w:sz w:val="18"/>
          <w:szCs w:val="18"/>
          <w:lang w:eastAsia="es-MX"/>
        </w:rPr>
      </w:pPr>
      <w:r w:rsidRPr="00E47A09">
        <w:rPr>
          <w:rFonts w:ascii="Arial" w:eastAsia="Times New Roman" w:hAnsi="Arial" w:cs="Arial"/>
          <w:b/>
          <w:bCs/>
          <w:i/>
          <w:iCs/>
          <w:color w:val="2F2F2F"/>
          <w:sz w:val="18"/>
          <w:szCs w:val="18"/>
          <w:lang w:eastAsia="es-MX"/>
        </w:rPr>
        <w:t>VI.</w:t>
      </w:r>
      <w:r w:rsidRPr="00E47A09">
        <w:rPr>
          <w:rFonts w:ascii="Arial" w:eastAsia="Times New Roman" w:hAnsi="Arial" w:cs="Arial"/>
          <w:color w:val="2F2F2F"/>
          <w:sz w:val="20"/>
          <w:szCs w:val="20"/>
          <w:lang w:eastAsia="es-MX"/>
        </w:rPr>
        <w:t>      </w:t>
      </w:r>
      <w:r w:rsidRPr="00E47A09">
        <w:rPr>
          <w:rFonts w:ascii="Arial" w:eastAsia="Times New Roman" w:hAnsi="Arial" w:cs="Arial"/>
          <w:i/>
          <w:iCs/>
          <w:color w:val="2F2F2F"/>
          <w:sz w:val="18"/>
          <w:szCs w:val="18"/>
          <w:lang w:eastAsia="es-MX"/>
        </w:rPr>
        <w:t>Las demás que se definan en otras disposiciones.</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i/>
          <w:iCs/>
          <w:color w:val="2F2F2F"/>
          <w:sz w:val="18"/>
          <w:szCs w:val="18"/>
          <w:lang w:eastAsia="es-MX"/>
        </w:rPr>
        <w:t>Las determinaciones adoptadas por el Grupo Interdisciplinario serán comunicadas a la Junta para su aprobación.</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i/>
          <w:iCs/>
          <w:color w:val="2F2F2F"/>
          <w:sz w:val="18"/>
          <w:szCs w:val="18"/>
          <w:lang w:eastAsia="es-MX"/>
        </w:rPr>
        <w:t>La valoración relacionada con los procesos de transferencia primaria, secundaria y baja documental de documentación generada en el Tribunal será competencia de la Junta.</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i/>
          <w:iCs/>
          <w:color w:val="2F2F2F"/>
          <w:sz w:val="18"/>
          <w:szCs w:val="18"/>
          <w:lang w:eastAsia="es-MX"/>
        </w:rPr>
        <w:t>El Grupo Interdisciplinario para su funcionamiento emitirá sus reglas de operación.</w:t>
      </w:r>
    </w:p>
    <w:p w:rsidR="00E47A09" w:rsidRPr="00E47A09" w:rsidRDefault="00E47A09" w:rsidP="00E47A09">
      <w:pPr>
        <w:shd w:val="clear" w:color="auto" w:fill="FFFFFF"/>
        <w:spacing w:after="101" w:line="240" w:lineRule="auto"/>
        <w:jc w:val="both"/>
        <w:rPr>
          <w:rFonts w:ascii="Arial" w:eastAsia="Times New Roman" w:hAnsi="Arial" w:cs="Arial"/>
          <w:color w:val="2F2F2F"/>
          <w:sz w:val="18"/>
          <w:szCs w:val="18"/>
          <w:lang w:eastAsia="es-MX"/>
        </w:rPr>
      </w:pPr>
      <w:r w:rsidRPr="00E47A09">
        <w:rPr>
          <w:rFonts w:ascii="Arial" w:eastAsia="Times New Roman" w:hAnsi="Arial" w:cs="Arial"/>
          <w:i/>
          <w:iCs/>
          <w:color w:val="2F2F2F"/>
          <w:sz w:val="18"/>
          <w:szCs w:val="18"/>
          <w:lang w:eastAsia="es-MX"/>
        </w:rPr>
        <w:t>Durante la ejecución de las actividades del Grupo Interdisciplinario, las áreas productoras de la documentación deberán observar lo establecido en el artículo 53 de la Ley."</w:t>
      </w:r>
    </w:p>
    <w:p w:rsidR="00E47A09" w:rsidRPr="00E47A09" w:rsidRDefault="00E47A09" w:rsidP="00E47A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47A09">
        <w:rPr>
          <w:rFonts w:ascii="Times" w:eastAsia="Times New Roman" w:hAnsi="Times" w:cs="Times"/>
          <w:b/>
          <w:bCs/>
          <w:color w:val="2F2F2F"/>
          <w:sz w:val="18"/>
          <w:szCs w:val="18"/>
          <w:lang w:eastAsia="es-MX"/>
        </w:rPr>
        <w:t>TRANSITORIOS</w:t>
      </w:r>
    </w:p>
    <w:p w:rsidR="00E47A09" w:rsidRPr="00E47A09" w:rsidRDefault="00E47A09" w:rsidP="00E47A09">
      <w:pPr>
        <w:shd w:val="clear" w:color="auto" w:fill="FFFFFF"/>
        <w:spacing w:after="101" w:line="240" w:lineRule="auto"/>
        <w:ind w:firstLine="288"/>
        <w:jc w:val="both"/>
        <w:rPr>
          <w:rFonts w:ascii="Arial" w:eastAsia="Times New Roman" w:hAnsi="Arial" w:cs="Arial"/>
          <w:color w:val="2F2F2F"/>
          <w:sz w:val="18"/>
          <w:szCs w:val="18"/>
          <w:lang w:eastAsia="es-MX"/>
        </w:rPr>
      </w:pPr>
      <w:r w:rsidRPr="00E47A09">
        <w:rPr>
          <w:rFonts w:ascii="Arial" w:eastAsia="Times New Roman" w:hAnsi="Arial" w:cs="Arial"/>
          <w:b/>
          <w:bCs/>
          <w:color w:val="2F2F2F"/>
          <w:sz w:val="18"/>
          <w:szCs w:val="18"/>
          <w:lang w:eastAsia="es-MX"/>
        </w:rPr>
        <w:t>Primero.</w:t>
      </w:r>
      <w:r w:rsidRPr="00E47A09">
        <w:rPr>
          <w:rFonts w:ascii="Arial" w:eastAsia="Times New Roman" w:hAnsi="Arial" w:cs="Arial"/>
          <w:color w:val="2F2F2F"/>
          <w:sz w:val="18"/>
          <w:szCs w:val="18"/>
          <w:lang w:eastAsia="es-MX"/>
        </w:rPr>
        <w:t> Publíquese el presente Acuerdo en el Diario Oficial de la Federación y en la página web institucional del Tribunal Federal de Justicia Administrativa.</w:t>
      </w:r>
    </w:p>
    <w:p w:rsidR="00E47A09" w:rsidRPr="00E47A09" w:rsidRDefault="00E47A09" w:rsidP="00E47A09">
      <w:pPr>
        <w:shd w:val="clear" w:color="auto" w:fill="FFFFFF"/>
        <w:spacing w:after="101" w:line="240" w:lineRule="auto"/>
        <w:ind w:firstLine="288"/>
        <w:jc w:val="both"/>
        <w:rPr>
          <w:rFonts w:ascii="Arial" w:eastAsia="Times New Roman" w:hAnsi="Arial" w:cs="Arial"/>
          <w:color w:val="2F2F2F"/>
          <w:sz w:val="18"/>
          <w:szCs w:val="18"/>
          <w:lang w:eastAsia="es-MX"/>
        </w:rPr>
      </w:pPr>
      <w:r w:rsidRPr="00E47A09">
        <w:rPr>
          <w:rFonts w:ascii="Arial" w:eastAsia="Times New Roman" w:hAnsi="Arial" w:cs="Arial"/>
          <w:b/>
          <w:bCs/>
          <w:color w:val="2F2F2F"/>
          <w:sz w:val="18"/>
          <w:szCs w:val="18"/>
          <w:lang w:eastAsia="es-MX"/>
        </w:rPr>
        <w:t>Segundo.</w:t>
      </w:r>
      <w:r w:rsidRPr="00E47A09">
        <w:rPr>
          <w:rFonts w:ascii="Arial" w:eastAsia="Times New Roman" w:hAnsi="Arial" w:cs="Arial"/>
          <w:color w:val="2F2F2F"/>
          <w:sz w:val="18"/>
          <w:szCs w:val="18"/>
          <w:lang w:eastAsia="es-MX"/>
        </w:rPr>
        <w:t> El presente acuerdo entrará en vigor al día siguiente de su publicación en el Diario Oficial de la Federación.</w:t>
      </w:r>
    </w:p>
    <w:p w:rsidR="00E47A09" w:rsidRPr="00E47A09" w:rsidRDefault="00E47A09" w:rsidP="00E47A09">
      <w:pPr>
        <w:shd w:val="clear" w:color="auto" w:fill="FFFFFF"/>
        <w:spacing w:after="101" w:line="240" w:lineRule="auto"/>
        <w:ind w:firstLine="288"/>
        <w:jc w:val="both"/>
        <w:rPr>
          <w:rFonts w:ascii="Arial" w:eastAsia="Times New Roman" w:hAnsi="Arial" w:cs="Arial"/>
          <w:color w:val="2F2F2F"/>
          <w:sz w:val="18"/>
          <w:szCs w:val="18"/>
          <w:lang w:eastAsia="es-MX"/>
        </w:rPr>
      </w:pPr>
      <w:r w:rsidRPr="00E47A09">
        <w:rPr>
          <w:rFonts w:ascii="Arial" w:eastAsia="Times New Roman" w:hAnsi="Arial" w:cs="Arial"/>
          <w:b/>
          <w:bCs/>
          <w:color w:val="2F2F2F"/>
          <w:sz w:val="18"/>
          <w:szCs w:val="18"/>
          <w:lang w:eastAsia="es-MX"/>
        </w:rPr>
        <w:t>Tercero.</w:t>
      </w:r>
      <w:r w:rsidRPr="00E47A09">
        <w:rPr>
          <w:rFonts w:ascii="Arial" w:eastAsia="Times New Roman" w:hAnsi="Arial" w:cs="Arial"/>
          <w:color w:val="2F2F2F"/>
          <w:sz w:val="18"/>
          <w:szCs w:val="18"/>
          <w:lang w:eastAsia="es-MX"/>
        </w:rPr>
        <w:t> Una vez que entre en vigor el presente Acuerdo, el Grupo Interdisciplinario deberá integrarse en un plazo no mayor de treinta días naturales.</w:t>
      </w:r>
    </w:p>
    <w:p w:rsidR="00E47A09" w:rsidRPr="00E47A09" w:rsidRDefault="00E47A09" w:rsidP="00E47A09">
      <w:pPr>
        <w:shd w:val="clear" w:color="auto" w:fill="FFFFFF"/>
        <w:spacing w:after="101" w:line="240" w:lineRule="auto"/>
        <w:ind w:firstLine="288"/>
        <w:jc w:val="both"/>
        <w:rPr>
          <w:rFonts w:ascii="Arial" w:eastAsia="Times New Roman" w:hAnsi="Arial" w:cs="Arial"/>
          <w:color w:val="2F2F2F"/>
          <w:sz w:val="18"/>
          <w:szCs w:val="18"/>
          <w:lang w:eastAsia="es-MX"/>
        </w:rPr>
      </w:pPr>
      <w:r w:rsidRPr="00E47A09">
        <w:rPr>
          <w:rFonts w:ascii="Arial" w:eastAsia="Times New Roman" w:hAnsi="Arial" w:cs="Arial"/>
          <w:color w:val="2F2F2F"/>
          <w:sz w:val="18"/>
          <w:szCs w:val="18"/>
          <w:lang w:eastAsia="es-MX"/>
        </w:rPr>
        <w:t>Dictado en sesión ordinaria presencial de fecha 30 de marzo de 2023, por unanimidad de cuatro votos a favor.- Firman el Magistrado</w:t>
      </w:r>
      <w:r w:rsidRPr="00E47A09">
        <w:rPr>
          <w:rFonts w:ascii="Arial" w:eastAsia="Times New Roman" w:hAnsi="Arial" w:cs="Arial"/>
          <w:b/>
          <w:bCs/>
          <w:color w:val="2F2F2F"/>
          <w:sz w:val="18"/>
          <w:szCs w:val="18"/>
          <w:lang w:eastAsia="es-MX"/>
        </w:rPr>
        <w:t xml:space="preserve"> Guillermo Valls </w:t>
      </w:r>
      <w:proofErr w:type="spellStart"/>
      <w:r w:rsidRPr="00E47A09">
        <w:rPr>
          <w:rFonts w:ascii="Arial" w:eastAsia="Times New Roman" w:hAnsi="Arial" w:cs="Arial"/>
          <w:b/>
          <w:bCs/>
          <w:color w:val="2F2F2F"/>
          <w:sz w:val="18"/>
          <w:szCs w:val="18"/>
          <w:lang w:eastAsia="es-MX"/>
        </w:rPr>
        <w:t>Esponda</w:t>
      </w:r>
      <w:proofErr w:type="spellEnd"/>
      <w:r w:rsidRPr="00E47A09">
        <w:rPr>
          <w:rFonts w:ascii="Arial" w:eastAsia="Times New Roman" w:hAnsi="Arial" w:cs="Arial"/>
          <w:color w:val="2F2F2F"/>
          <w:sz w:val="18"/>
          <w:szCs w:val="18"/>
          <w:lang w:eastAsia="es-MX"/>
        </w:rPr>
        <w:t>, Presidente de la Junta de Gobierno y Administración del Tribunal Federal de Justicia Administrativa, y la Licenciada</w:t>
      </w:r>
      <w:r w:rsidRPr="00E47A09">
        <w:rPr>
          <w:rFonts w:ascii="Arial" w:eastAsia="Times New Roman" w:hAnsi="Arial" w:cs="Arial"/>
          <w:b/>
          <w:bCs/>
          <w:color w:val="2F2F2F"/>
          <w:sz w:val="18"/>
          <w:szCs w:val="18"/>
          <w:lang w:eastAsia="es-MX"/>
        </w:rPr>
        <w:t> Fátima González Tello</w:t>
      </w:r>
      <w:r w:rsidRPr="00E47A09">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Rúbricas.</w:t>
      </w:r>
    </w:p>
    <w:p w:rsidR="00E47A09" w:rsidRDefault="00E47A09" w:rsidP="00E47A09">
      <w:pPr>
        <w:jc w:val="both"/>
      </w:pPr>
    </w:p>
    <w:sectPr w:rsidR="00E47A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09"/>
    <w:rsid w:val="00AE5E32"/>
    <w:rsid w:val="00E4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4524">
      <w:bodyDiv w:val="1"/>
      <w:marLeft w:val="0"/>
      <w:marRight w:val="0"/>
      <w:marTop w:val="0"/>
      <w:marBottom w:val="0"/>
      <w:divBdr>
        <w:top w:val="none" w:sz="0" w:space="0" w:color="auto"/>
        <w:left w:val="none" w:sz="0" w:space="0" w:color="auto"/>
        <w:bottom w:val="none" w:sz="0" w:space="0" w:color="auto"/>
        <w:right w:val="none" w:sz="0" w:space="0" w:color="auto"/>
      </w:divBdr>
      <w:divsChild>
        <w:div w:id="1159275413">
          <w:marLeft w:val="0"/>
          <w:marRight w:val="0"/>
          <w:marTop w:val="0"/>
          <w:marBottom w:val="0"/>
          <w:divBdr>
            <w:top w:val="none" w:sz="0" w:space="0" w:color="auto"/>
            <w:left w:val="none" w:sz="0" w:space="0" w:color="auto"/>
            <w:bottom w:val="none" w:sz="0" w:space="0" w:color="auto"/>
            <w:right w:val="none" w:sz="0" w:space="0" w:color="auto"/>
          </w:divBdr>
          <w:divsChild>
            <w:div w:id="1120878234">
              <w:marLeft w:val="0"/>
              <w:marRight w:val="0"/>
              <w:marTop w:val="101"/>
              <w:marBottom w:val="101"/>
              <w:divBdr>
                <w:top w:val="none" w:sz="0" w:space="0" w:color="auto"/>
                <w:left w:val="none" w:sz="0" w:space="0" w:color="auto"/>
                <w:bottom w:val="none" w:sz="0" w:space="0" w:color="auto"/>
                <w:right w:val="none" w:sz="0" w:space="0" w:color="auto"/>
              </w:divBdr>
            </w:div>
            <w:div w:id="1135416767">
              <w:marLeft w:val="0"/>
              <w:marRight w:val="0"/>
              <w:marTop w:val="0"/>
              <w:marBottom w:val="101"/>
              <w:divBdr>
                <w:top w:val="none" w:sz="0" w:space="0" w:color="auto"/>
                <w:left w:val="none" w:sz="0" w:space="0" w:color="auto"/>
                <w:bottom w:val="none" w:sz="0" w:space="0" w:color="auto"/>
                <w:right w:val="none" w:sz="0" w:space="0" w:color="auto"/>
              </w:divBdr>
            </w:div>
            <w:div w:id="1279721483">
              <w:marLeft w:val="0"/>
              <w:marRight w:val="0"/>
              <w:marTop w:val="101"/>
              <w:marBottom w:val="101"/>
              <w:divBdr>
                <w:top w:val="none" w:sz="0" w:space="0" w:color="auto"/>
                <w:left w:val="none" w:sz="0" w:space="0" w:color="auto"/>
                <w:bottom w:val="none" w:sz="0" w:space="0" w:color="auto"/>
                <w:right w:val="none" w:sz="0" w:space="0" w:color="auto"/>
              </w:divBdr>
            </w:div>
            <w:div w:id="465200872">
              <w:marLeft w:val="0"/>
              <w:marRight w:val="0"/>
              <w:marTop w:val="0"/>
              <w:marBottom w:val="101"/>
              <w:divBdr>
                <w:top w:val="none" w:sz="0" w:space="0" w:color="auto"/>
                <w:left w:val="none" w:sz="0" w:space="0" w:color="auto"/>
                <w:bottom w:val="none" w:sz="0" w:space="0" w:color="auto"/>
                <w:right w:val="none" w:sz="0" w:space="0" w:color="auto"/>
              </w:divBdr>
            </w:div>
            <w:div w:id="140196548">
              <w:marLeft w:val="0"/>
              <w:marRight w:val="0"/>
              <w:marTop w:val="0"/>
              <w:marBottom w:val="101"/>
              <w:divBdr>
                <w:top w:val="none" w:sz="0" w:space="0" w:color="auto"/>
                <w:left w:val="none" w:sz="0" w:space="0" w:color="auto"/>
                <w:bottom w:val="none" w:sz="0" w:space="0" w:color="auto"/>
                <w:right w:val="none" w:sz="0" w:space="0" w:color="auto"/>
              </w:divBdr>
            </w:div>
            <w:div w:id="2029941978">
              <w:marLeft w:val="0"/>
              <w:marRight w:val="0"/>
              <w:marTop w:val="0"/>
              <w:marBottom w:val="101"/>
              <w:divBdr>
                <w:top w:val="none" w:sz="0" w:space="0" w:color="auto"/>
                <w:left w:val="none" w:sz="0" w:space="0" w:color="auto"/>
                <w:bottom w:val="none" w:sz="0" w:space="0" w:color="auto"/>
                <w:right w:val="none" w:sz="0" w:space="0" w:color="auto"/>
              </w:divBdr>
            </w:div>
            <w:div w:id="1954559426">
              <w:marLeft w:val="0"/>
              <w:marRight w:val="0"/>
              <w:marTop w:val="0"/>
              <w:marBottom w:val="101"/>
              <w:divBdr>
                <w:top w:val="none" w:sz="0" w:space="0" w:color="auto"/>
                <w:left w:val="none" w:sz="0" w:space="0" w:color="auto"/>
                <w:bottom w:val="none" w:sz="0" w:space="0" w:color="auto"/>
                <w:right w:val="none" w:sz="0" w:space="0" w:color="auto"/>
              </w:divBdr>
            </w:div>
            <w:div w:id="1935895707">
              <w:marLeft w:val="0"/>
              <w:marRight w:val="0"/>
              <w:marTop w:val="0"/>
              <w:marBottom w:val="101"/>
              <w:divBdr>
                <w:top w:val="none" w:sz="0" w:space="0" w:color="auto"/>
                <w:left w:val="none" w:sz="0" w:space="0" w:color="auto"/>
                <w:bottom w:val="none" w:sz="0" w:space="0" w:color="auto"/>
                <w:right w:val="none" w:sz="0" w:space="0" w:color="auto"/>
              </w:divBdr>
            </w:div>
            <w:div w:id="682898423">
              <w:marLeft w:val="0"/>
              <w:marRight w:val="0"/>
              <w:marTop w:val="0"/>
              <w:marBottom w:val="101"/>
              <w:divBdr>
                <w:top w:val="none" w:sz="0" w:space="0" w:color="auto"/>
                <w:left w:val="none" w:sz="0" w:space="0" w:color="auto"/>
                <w:bottom w:val="none" w:sz="0" w:space="0" w:color="auto"/>
                <w:right w:val="none" w:sz="0" w:space="0" w:color="auto"/>
              </w:divBdr>
            </w:div>
            <w:div w:id="638194965">
              <w:marLeft w:val="0"/>
              <w:marRight w:val="0"/>
              <w:marTop w:val="0"/>
              <w:marBottom w:val="101"/>
              <w:divBdr>
                <w:top w:val="none" w:sz="0" w:space="0" w:color="auto"/>
                <w:left w:val="none" w:sz="0" w:space="0" w:color="auto"/>
                <w:bottom w:val="none" w:sz="0" w:space="0" w:color="auto"/>
                <w:right w:val="none" w:sz="0" w:space="0" w:color="auto"/>
              </w:divBdr>
            </w:div>
            <w:div w:id="1525903609">
              <w:marLeft w:val="0"/>
              <w:marRight w:val="0"/>
              <w:marTop w:val="0"/>
              <w:marBottom w:val="101"/>
              <w:divBdr>
                <w:top w:val="none" w:sz="0" w:space="0" w:color="auto"/>
                <w:left w:val="none" w:sz="0" w:space="0" w:color="auto"/>
                <w:bottom w:val="none" w:sz="0" w:space="0" w:color="auto"/>
                <w:right w:val="none" w:sz="0" w:space="0" w:color="auto"/>
              </w:divBdr>
            </w:div>
            <w:div w:id="966200715">
              <w:marLeft w:val="0"/>
              <w:marRight w:val="0"/>
              <w:marTop w:val="0"/>
              <w:marBottom w:val="101"/>
              <w:divBdr>
                <w:top w:val="none" w:sz="0" w:space="0" w:color="auto"/>
                <w:left w:val="none" w:sz="0" w:space="0" w:color="auto"/>
                <w:bottom w:val="none" w:sz="0" w:space="0" w:color="auto"/>
                <w:right w:val="none" w:sz="0" w:space="0" w:color="auto"/>
              </w:divBdr>
            </w:div>
            <w:div w:id="718939273">
              <w:marLeft w:val="0"/>
              <w:marRight w:val="0"/>
              <w:marTop w:val="101"/>
              <w:marBottom w:val="101"/>
              <w:divBdr>
                <w:top w:val="none" w:sz="0" w:space="0" w:color="auto"/>
                <w:left w:val="none" w:sz="0" w:space="0" w:color="auto"/>
                <w:bottom w:val="none" w:sz="0" w:space="0" w:color="auto"/>
                <w:right w:val="none" w:sz="0" w:space="0" w:color="auto"/>
              </w:divBdr>
            </w:div>
            <w:div w:id="1002006786">
              <w:marLeft w:val="0"/>
              <w:marRight w:val="0"/>
              <w:marTop w:val="0"/>
              <w:marBottom w:val="101"/>
              <w:divBdr>
                <w:top w:val="none" w:sz="0" w:space="0" w:color="auto"/>
                <w:left w:val="none" w:sz="0" w:space="0" w:color="auto"/>
                <w:bottom w:val="none" w:sz="0" w:space="0" w:color="auto"/>
                <w:right w:val="none" w:sz="0" w:space="0" w:color="auto"/>
              </w:divBdr>
            </w:div>
            <w:div w:id="642538948">
              <w:marLeft w:val="720"/>
              <w:marRight w:val="576"/>
              <w:marTop w:val="0"/>
              <w:marBottom w:val="101"/>
              <w:divBdr>
                <w:top w:val="none" w:sz="0" w:space="0" w:color="auto"/>
                <w:left w:val="none" w:sz="0" w:space="0" w:color="auto"/>
                <w:bottom w:val="none" w:sz="0" w:space="0" w:color="auto"/>
                <w:right w:val="none" w:sz="0" w:space="0" w:color="auto"/>
              </w:divBdr>
            </w:div>
            <w:div w:id="1476337256">
              <w:marLeft w:val="720"/>
              <w:marRight w:val="576"/>
              <w:marTop w:val="0"/>
              <w:marBottom w:val="101"/>
              <w:divBdr>
                <w:top w:val="none" w:sz="0" w:space="0" w:color="auto"/>
                <w:left w:val="none" w:sz="0" w:space="0" w:color="auto"/>
                <w:bottom w:val="none" w:sz="0" w:space="0" w:color="auto"/>
                <w:right w:val="none" w:sz="0" w:space="0" w:color="auto"/>
              </w:divBdr>
            </w:div>
            <w:div w:id="200241164">
              <w:marLeft w:val="720"/>
              <w:marRight w:val="576"/>
              <w:marTop w:val="0"/>
              <w:marBottom w:val="101"/>
              <w:divBdr>
                <w:top w:val="none" w:sz="0" w:space="0" w:color="auto"/>
                <w:left w:val="none" w:sz="0" w:space="0" w:color="auto"/>
                <w:bottom w:val="none" w:sz="0" w:space="0" w:color="auto"/>
                <w:right w:val="none" w:sz="0" w:space="0" w:color="auto"/>
              </w:divBdr>
            </w:div>
            <w:div w:id="413433151">
              <w:marLeft w:val="720"/>
              <w:marRight w:val="576"/>
              <w:marTop w:val="0"/>
              <w:marBottom w:val="101"/>
              <w:divBdr>
                <w:top w:val="none" w:sz="0" w:space="0" w:color="auto"/>
                <w:left w:val="none" w:sz="0" w:space="0" w:color="auto"/>
                <w:bottom w:val="none" w:sz="0" w:space="0" w:color="auto"/>
                <w:right w:val="none" w:sz="0" w:space="0" w:color="auto"/>
              </w:divBdr>
            </w:div>
            <w:div w:id="317464471">
              <w:marLeft w:val="720"/>
              <w:marRight w:val="576"/>
              <w:marTop w:val="0"/>
              <w:marBottom w:val="101"/>
              <w:divBdr>
                <w:top w:val="none" w:sz="0" w:space="0" w:color="auto"/>
                <w:left w:val="none" w:sz="0" w:space="0" w:color="auto"/>
                <w:bottom w:val="none" w:sz="0" w:space="0" w:color="auto"/>
                <w:right w:val="none" w:sz="0" w:space="0" w:color="auto"/>
              </w:divBdr>
            </w:div>
            <w:div w:id="111942156">
              <w:marLeft w:val="720"/>
              <w:marRight w:val="576"/>
              <w:marTop w:val="0"/>
              <w:marBottom w:val="101"/>
              <w:divBdr>
                <w:top w:val="none" w:sz="0" w:space="0" w:color="auto"/>
                <w:left w:val="none" w:sz="0" w:space="0" w:color="auto"/>
                <w:bottom w:val="none" w:sz="0" w:space="0" w:color="auto"/>
                <w:right w:val="none" w:sz="0" w:space="0" w:color="auto"/>
              </w:divBdr>
            </w:div>
            <w:div w:id="1491171865">
              <w:marLeft w:val="720"/>
              <w:marRight w:val="576"/>
              <w:marTop w:val="0"/>
              <w:marBottom w:val="101"/>
              <w:divBdr>
                <w:top w:val="none" w:sz="0" w:space="0" w:color="auto"/>
                <w:left w:val="none" w:sz="0" w:space="0" w:color="auto"/>
                <w:bottom w:val="none" w:sz="0" w:space="0" w:color="auto"/>
                <w:right w:val="none" w:sz="0" w:space="0" w:color="auto"/>
              </w:divBdr>
            </w:div>
            <w:div w:id="801386637">
              <w:marLeft w:val="720"/>
              <w:marRight w:val="576"/>
              <w:marTop w:val="0"/>
              <w:marBottom w:val="101"/>
              <w:divBdr>
                <w:top w:val="none" w:sz="0" w:space="0" w:color="auto"/>
                <w:left w:val="none" w:sz="0" w:space="0" w:color="auto"/>
                <w:bottom w:val="none" w:sz="0" w:space="0" w:color="auto"/>
                <w:right w:val="none" w:sz="0" w:space="0" w:color="auto"/>
              </w:divBdr>
            </w:div>
            <w:div w:id="404767279">
              <w:marLeft w:val="720"/>
              <w:marRight w:val="576"/>
              <w:marTop w:val="0"/>
              <w:marBottom w:val="101"/>
              <w:divBdr>
                <w:top w:val="none" w:sz="0" w:space="0" w:color="auto"/>
                <w:left w:val="none" w:sz="0" w:space="0" w:color="auto"/>
                <w:bottom w:val="none" w:sz="0" w:space="0" w:color="auto"/>
                <w:right w:val="none" w:sz="0" w:space="0" w:color="auto"/>
              </w:divBdr>
            </w:div>
            <w:div w:id="425810591">
              <w:marLeft w:val="720"/>
              <w:marRight w:val="576"/>
              <w:marTop w:val="0"/>
              <w:marBottom w:val="101"/>
              <w:divBdr>
                <w:top w:val="none" w:sz="0" w:space="0" w:color="auto"/>
                <w:left w:val="none" w:sz="0" w:space="0" w:color="auto"/>
                <w:bottom w:val="none" w:sz="0" w:space="0" w:color="auto"/>
                <w:right w:val="none" w:sz="0" w:space="0" w:color="auto"/>
              </w:divBdr>
            </w:div>
            <w:div w:id="410279493">
              <w:marLeft w:val="720"/>
              <w:marRight w:val="576"/>
              <w:marTop w:val="0"/>
              <w:marBottom w:val="101"/>
              <w:divBdr>
                <w:top w:val="none" w:sz="0" w:space="0" w:color="auto"/>
                <w:left w:val="none" w:sz="0" w:space="0" w:color="auto"/>
                <w:bottom w:val="none" w:sz="0" w:space="0" w:color="auto"/>
                <w:right w:val="none" w:sz="0" w:space="0" w:color="auto"/>
              </w:divBdr>
            </w:div>
            <w:div w:id="417291084">
              <w:marLeft w:val="720"/>
              <w:marRight w:val="576"/>
              <w:marTop w:val="0"/>
              <w:marBottom w:val="101"/>
              <w:divBdr>
                <w:top w:val="none" w:sz="0" w:space="0" w:color="auto"/>
                <w:left w:val="none" w:sz="0" w:space="0" w:color="auto"/>
                <w:bottom w:val="none" w:sz="0" w:space="0" w:color="auto"/>
                <w:right w:val="none" w:sz="0" w:space="0" w:color="auto"/>
              </w:divBdr>
            </w:div>
            <w:div w:id="586618797">
              <w:marLeft w:val="720"/>
              <w:marRight w:val="576"/>
              <w:marTop w:val="0"/>
              <w:marBottom w:val="101"/>
              <w:divBdr>
                <w:top w:val="none" w:sz="0" w:space="0" w:color="auto"/>
                <w:left w:val="none" w:sz="0" w:space="0" w:color="auto"/>
                <w:bottom w:val="none" w:sz="0" w:space="0" w:color="auto"/>
                <w:right w:val="none" w:sz="0" w:space="0" w:color="auto"/>
              </w:divBdr>
            </w:div>
            <w:div w:id="1510831127">
              <w:marLeft w:val="1296"/>
              <w:marRight w:val="576"/>
              <w:marTop w:val="0"/>
              <w:marBottom w:val="101"/>
              <w:divBdr>
                <w:top w:val="none" w:sz="0" w:space="0" w:color="auto"/>
                <w:left w:val="none" w:sz="0" w:space="0" w:color="auto"/>
                <w:bottom w:val="none" w:sz="0" w:space="0" w:color="auto"/>
                <w:right w:val="none" w:sz="0" w:space="0" w:color="auto"/>
              </w:divBdr>
            </w:div>
          </w:divsChild>
        </w:div>
        <w:div w:id="478814150">
          <w:marLeft w:val="0"/>
          <w:marRight w:val="0"/>
          <w:marTop w:val="0"/>
          <w:marBottom w:val="0"/>
          <w:divBdr>
            <w:top w:val="none" w:sz="0" w:space="0" w:color="auto"/>
            <w:left w:val="none" w:sz="0" w:space="0" w:color="auto"/>
            <w:bottom w:val="none" w:sz="0" w:space="0" w:color="auto"/>
            <w:right w:val="none" w:sz="0" w:space="0" w:color="auto"/>
          </w:divBdr>
          <w:divsChild>
            <w:div w:id="612443072">
              <w:marLeft w:val="1296"/>
              <w:marRight w:val="576"/>
              <w:marTop w:val="0"/>
              <w:marBottom w:val="101"/>
              <w:divBdr>
                <w:top w:val="none" w:sz="0" w:space="0" w:color="auto"/>
                <w:left w:val="none" w:sz="0" w:space="0" w:color="auto"/>
                <w:bottom w:val="none" w:sz="0" w:space="0" w:color="auto"/>
                <w:right w:val="none" w:sz="0" w:space="0" w:color="auto"/>
              </w:divBdr>
            </w:div>
            <w:div w:id="243298212">
              <w:marLeft w:val="1296"/>
              <w:marRight w:val="576"/>
              <w:marTop w:val="0"/>
              <w:marBottom w:val="101"/>
              <w:divBdr>
                <w:top w:val="none" w:sz="0" w:space="0" w:color="auto"/>
                <w:left w:val="none" w:sz="0" w:space="0" w:color="auto"/>
                <w:bottom w:val="none" w:sz="0" w:space="0" w:color="auto"/>
                <w:right w:val="none" w:sz="0" w:space="0" w:color="auto"/>
              </w:divBdr>
            </w:div>
            <w:div w:id="258220576">
              <w:marLeft w:val="1296"/>
              <w:marRight w:val="576"/>
              <w:marTop w:val="0"/>
              <w:marBottom w:val="101"/>
              <w:divBdr>
                <w:top w:val="none" w:sz="0" w:space="0" w:color="auto"/>
                <w:left w:val="none" w:sz="0" w:space="0" w:color="auto"/>
                <w:bottom w:val="none" w:sz="0" w:space="0" w:color="auto"/>
                <w:right w:val="none" w:sz="0" w:space="0" w:color="auto"/>
              </w:divBdr>
            </w:div>
            <w:div w:id="755977522">
              <w:marLeft w:val="1296"/>
              <w:marRight w:val="576"/>
              <w:marTop w:val="0"/>
              <w:marBottom w:val="101"/>
              <w:divBdr>
                <w:top w:val="none" w:sz="0" w:space="0" w:color="auto"/>
                <w:left w:val="none" w:sz="0" w:space="0" w:color="auto"/>
                <w:bottom w:val="none" w:sz="0" w:space="0" w:color="auto"/>
                <w:right w:val="none" w:sz="0" w:space="0" w:color="auto"/>
              </w:divBdr>
            </w:div>
            <w:div w:id="646856214">
              <w:marLeft w:val="1296"/>
              <w:marRight w:val="576"/>
              <w:marTop w:val="0"/>
              <w:marBottom w:val="101"/>
              <w:divBdr>
                <w:top w:val="none" w:sz="0" w:space="0" w:color="auto"/>
                <w:left w:val="none" w:sz="0" w:space="0" w:color="auto"/>
                <w:bottom w:val="none" w:sz="0" w:space="0" w:color="auto"/>
                <w:right w:val="none" w:sz="0" w:space="0" w:color="auto"/>
              </w:divBdr>
            </w:div>
            <w:div w:id="1588155403">
              <w:marLeft w:val="1296"/>
              <w:marRight w:val="576"/>
              <w:marTop w:val="0"/>
              <w:marBottom w:val="101"/>
              <w:divBdr>
                <w:top w:val="none" w:sz="0" w:space="0" w:color="auto"/>
                <w:left w:val="none" w:sz="0" w:space="0" w:color="auto"/>
                <w:bottom w:val="none" w:sz="0" w:space="0" w:color="auto"/>
                <w:right w:val="none" w:sz="0" w:space="0" w:color="auto"/>
              </w:divBdr>
            </w:div>
            <w:div w:id="1474525012">
              <w:marLeft w:val="1296"/>
              <w:marRight w:val="576"/>
              <w:marTop w:val="0"/>
              <w:marBottom w:val="101"/>
              <w:divBdr>
                <w:top w:val="none" w:sz="0" w:space="0" w:color="auto"/>
                <w:left w:val="none" w:sz="0" w:space="0" w:color="auto"/>
                <w:bottom w:val="none" w:sz="0" w:space="0" w:color="auto"/>
                <w:right w:val="none" w:sz="0" w:space="0" w:color="auto"/>
              </w:divBdr>
            </w:div>
            <w:div w:id="173614519">
              <w:marLeft w:val="1296"/>
              <w:marRight w:val="576"/>
              <w:marTop w:val="0"/>
              <w:marBottom w:val="101"/>
              <w:divBdr>
                <w:top w:val="none" w:sz="0" w:space="0" w:color="auto"/>
                <w:left w:val="none" w:sz="0" w:space="0" w:color="auto"/>
                <w:bottom w:val="none" w:sz="0" w:space="0" w:color="auto"/>
                <w:right w:val="none" w:sz="0" w:space="0" w:color="auto"/>
              </w:divBdr>
            </w:div>
            <w:div w:id="1974097136">
              <w:marLeft w:val="1296"/>
              <w:marRight w:val="576"/>
              <w:marTop w:val="0"/>
              <w:marBottom w:val="101"/>
              <w:divBdr>
                <w:top w:val="none" w:sz="0" w:space="0" w:color="auto"/>
                <w:left w:val="none" w:sz="0" w:space="0" w:color="auto"/>
                <w:bottom w:val="none" w:sz="0" w:space="0" w:color="auto"/>
                <w:right w:val="none" w:sz="0" w:space="0" w:color="auto"/>
              </w:divBdr>
            </w:div>
            <w:div w:id="552085629">
              <w:marLeft w:val="720"/>
              <w:marRight w:val="576"/>
              <w:marTop w:val="0"/>
              <w:marBottom w:val="101"/>
              <w:divBdr>
                <w:top w:val="none" w:sz="0" w:space="0" w:color="auto"/>
                <w:left w:val="none" w:sz="0" w:space="0" w:color="auto"/>
                <w:bottom w:val="none" w:sz="0" w:space="0" w:color="auto"/>
                <w:right w:val="none" w:sz="0" w:space="0" w:color="auto"/>
              </w:divBdr>
            </w:div>
            <w:div w:id="1145925427">
              <w:marLeft w:val="720"/>
              <w:marRight w:val="576"/>
              <w:marTop w:val="0"/>
              <w:marBottom w:val="101"/>
              <w:divBdr>
                <w:top w:val="none" w:sz="0" w:space="0" w:color="auto"/>
                <w:left w:val="none" w:sz="0" w:space="0" w:color="auto"/>
                <w:bottom w:val="none" w:sz="0" w:space="0" w:color="auto"/>
                <w:right w:val="none" w:sz="0" w:space="0" w:color="auto"/>
              </w:divBdr>
            </w:div>
            <w:div w:id="701515551">
              <w:marLeft w:val="1296"/>
              <w:marRight w:val="576"/>
              <w:marTop w:val="0"/>
              <w:marBottom w:val="101"/>
              <w:divBdr>
                <w:top w:val="none" w:sz="0" w:space="0" w:color="auto"/>
                <w:left w:val="none" w:sz="0" w:space="0" w:color="auto"/>
                <w:bottom w:val="none" w:sz="0" w:space="0" w:color="auto"/>
                <w:right w:val="none" w:sz="0" w:space="0" w:color="auto"/>
              </w:divBdr>
            </w:div>
            <w:div w:id="128939361">
              <w:marLeft w:val="1296"/>
              <w:marRight w:val="576"/>
              <w:marTop w:val="0"/>
              <w:marBottom w:val="101"/>
              <w:divBdr>
                <w:top w:val="none" w:sz="0" w:space="0" w:color="auto"/>
                <w:left w:val="none" w:sz="0" w:space="0" w:color="auto"/>
                <w:bottom w:val="none" w:sz="0" w:space="0" w:color="auto"/>
                <w:right w:val="none" w:sz="0" w:space="0" w:color="auto"/>
              </w:divBdr>
            </w:div>
            <w:div w:id="599066993">
              <w:marLeft w:val="1296"/>
              <w:marRight w:val="576"/>
              <w:marTop w:val="0"/>
              <w:marBottom w:val="101"/>
              <w:divBdr>
                <w:top w:val="none" w:sz="0" w:space="0" w:color="auto"/>
                <w:left w:val="none" w:sz="0" w:space="0" w:color="auto"/>
                <w:bottom w:val="none" w:sz="0" w:space="0" w:color="auto"/>
                <w:right w:val="none" w:sz="0" w:space="0" w:color="auto"/>
              </w:divBdr>
            </w:div>
            <w:div w:id="814294434">
              <w:marLeft w:val="1296"/>
              <w:marRight w:val="576"/>
              <w:marTop w:val="0"/>
              <w:marBottom w:val="101"/>
              <w:divBdr>
                <w:top w:val="none" w:sz="0" w:space="0" w:color="auto"/>
                <w:left w:val="none" w:sz="0" w:space="0" w:color="auto"/>
                <w:bottom w:val="none" w:sz="0" w:space="0" w:color="auto"/>
                <w:right w:val="none" w:sz="0" w:space="0" w:color="auto"/>
              </w:divBdr>
            </w:div>
            <w:div w:id="1265261437">
              <w:marLeft w:val="1296"/>
              <w:marRight w:val="576"/>
              <w:marTop w:val="0"/>
              <w:marBottom w:val="101"/>
              <w:divBdr>
                <w:top w:val="none" w:sz="0" w:space="0" w:color="auto"/>
                <w:left w:val="none" w:sz="0" w:space="0" w:color="auto"/>
                <w:bottom w:val="none" w:sz="0" w:space="0" w:color="auto"/>
                <w:right w:val="none" w:sz="0" w:space="0" w:color="auto"/>
              </w:divBdr>
            </w:div>
            <w:div w:id="1592353878">
              <w:marLeft w:val="1296"/>
              <w:marRight w:val="576"/>
              <w:marTop w:val="0"/>
              <w:marBottom w:val="101"/>
              <w:divBdr>
                <w:top w:val="none" w:sz="0" w:space="0" w:color="auto"/>
                <w:left w:val="none" w:sz="0" w:space="0" w:color="auto"/>
                <w:bottom w:val="none" w:sz="0" w:space="0" w:color="auto"/>
                <w:right w:val="none" w:sz="0" w:space="0" w:color="auto"/>
              </w:divBdr>
            </w:div>
            <w:div w:id="1498840581">
              <w:marLeft w:val="720"/>
              <w:marRight w:val="576"/>
              <w:marTop w:val="0"/>
              <w:marBottom w:val="101"/>
              <w:divBdr>
                <w:top w:val="none" w:sz="0" w:space="0" w:color="auto"/>
                <w:left w:val="none" w:sz="0" w:space="0" w:color="auto"/>
                <w:bottom w:val="none" w:sz="0" w:space="0" w:color="auto"/>
                <w:right w:val="none" w:sz="0" w:space="0" w:color="auto"/>
              </w:divBdr>
            </w:div>
            <w:div w:id="613175468">
              <w:marLeft w:val="720"/>
              <w:marRight w:val="576"/>
              <w:marTop w:val="0"/>
              <w:marBottom w:val="101"/>
              <w:divBdr>
                <w:top w:val="none" w:sz="0" w:space="0" w:color="auto"/>
                <w:left w:val="none" w:sz="0" w:space="0" w:color="auto"/>
                <w:bottom w:val="none" w:sz="0" w:space="0" w:color="auto"/>
                <w:right w:val="none" w:sz="0" w:space="0" w:color="auto"/>
              </w:divBdr>
            </w:div>
            <w:div w:id="1973557177">
              <w:marLeft w:val="720"/>
              <w:marRight w:val="576"/>
              <w:marTop w:val="0"/>
              <w:marBottom w:val="101"/>
              <w:divBdr>
                <w:top w:val="none" w:sz="0" w:space="0" w:color="auto"/>
                <w:left w:val="none" w:sz="0" w:space="0" w:color="auto"/>
                <w:bottom w:val="none" w:sz="0" w:space="0" w:color="auto"/>
                <w:right w:val="none" w:sz="0" w:space="0" w:color="auto"/>
              </w:divBdr>
            </w:div>
            <w:div w:id="337465730">
              <w:marLeft w:val="720"/>
              <w:marRight w:val="576"/>
              <w:marTop w:val="0"/>
              <w:marBottom w:val="101"/>
              <w:divBdr>
                <w:top w:val="none" w:sz="0" w:space="0" w:color="auto"/>
                <w:left w:val="none" w:sz="0" w:space="0" w:color="auto"/>
                <w:bottom w:val="none" w:sz="0" w:space="0" w:color="auto"/>
                <w:right w:val="none" w:sz="0" w:space="0" w:color="auto"/>
              </w:divBdr>
            </w:div>
            <w:div w:id="1969507936">
              <w:marLeft w:val="0"/>
              <w:marRight w:val="0"/>
              <w:marTop w:val="101"/>
              <w:marBottom w:val="101"/>
              <w:divBdr>
                <w:top w:val="none" w:sz="0" w:space="0" w:color="auto"/>
                <w:left w:val="none" w:sz="0" w:space="0" w:color="auto"/>
                <w:bottom w:val="none" w:sz="0" w:space="0" w:color="auto"/>
                <w:right w:val="none" w:sz="0" w:space="0" w:color="auto"/>
              </w:divBdr>
            </w:div>
            <w:div w:id="1470325274">
              <w:marLeft w:val="0"/>
              <w:marRight w:val="0"/>
              <w:marTop w:val="0"/>
              <w:marBottom w:val="101"/>
              <w:divBdr>
                <w:top w:val="none" w:sz="0" w:space="0" w:color="auto"/>
                <w:left w:val="none" w:sz="0" w:space="0" w:color="auto"/>
                <w:bottom w:val="none" w:sz="0" w:space="0" w:color="auto"/>
                <w:right w:val="none" w:sz="0" w:space="0" w:color="auto"/>
              </w:divBdr>
            </w:div>
            <w:div w:id="824325253">
              <w:marLeft w:val="0"/>
              <w:marRight w:val="0"/>
              <w:marTop w:val="0"/>
              <w:marBottom w:val="101"/>
              <w:divBdr>
                <w:top w:val="none" w:sz="0" w:space="0" w:color="auto"/>
                <w:left w:val="none" w:sz="0" w:space="0" w:color="auto"/>
                <w:bottom w:val="none" w:sz="0" w:space="0" w:color="auto"/>
                <w:right w:val="none" w:sz="0" w:space="0" w:color="auto"/>
              </w:divBdr>
            </w:div>
            <w:div w:id="2076275702">
              <w:marLeft w:val="0"/>
              <w:marRight w:val="0"/>
              <w:marTop w:val="0"/>
              <w:marBottom w:val="101"/>
              <w:divBdr>
                <w:top w:val="none" w:sz="0" w:space="0" w:color="auto"/>
                <w:left w:val="none" w:sz="0" w:space="0" w:color="auto"/>
                <w:bottom w:val="none" w:sz="0" w:space="0" w:color="auto"/>
                <w:right w:val="none" w:sz="0" w:space="0" w:color="auto"/>
              </w:divBdr>
            </w:div>
            <w:div w:id="105867113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1943</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2023-07-05T15:30:00Z</dcterms:created>
  <dcterms:modified xsi:type="dcterms:W3CDTF">2023-07-05T15:32:00Z</dcterms:modified>
</cp:coreProperties>
</file>