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dwkptd8nvjcb"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Nuevo León</w:t>
        <w:br w:type="textWrapping"/>
        <w:t xml:space="preserve">(DOF 20 de junio de 2024)</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ESTADO DE NUEVO LEÓN, EN ADELANTE "EL ESTADO", REPRESENTADO POR EL C. GOBERNADOR CONSTITUCIONAL DEL ESTADO, SAMUEL ALEJANDRO GARCÍA SEPÚLVEDA, CON LA ASISTENCIA DE LOS CC. SECRETARIO GENERAL DE GOBIERNO, JAVIER LUIS NAVARRO VELASCO, SECRETARIO DE FINANZAS Y TESORERO GENERAL DEL ESTADO, CARLOS ALBERTO GARZA IBARRA, CONTRALORA GENERAL DE LA CONTRALORÍA Y TRANSPARENCIA GUBERNAMENTAL, MARÍA TERESA HERRERA TELLO, Y EL ENCARGADO DEL DESPACHO DE LA SECRETARÍA DEL TRABAJO, ARTURO CAVAZOS LEAL;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 y 32 de la Constitución Política del Estado Libre y Soberano de Nuevo León.</w:t>
      </w:r>
    </w:p>
    <w:p w:rsidR="00000000" w:rsidDel="00000000" w:rsidP="00000000" w:rsidRDefault="00000000" w:rsidRPr="00000000" w14:paraId="0000000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w:t>
      </w:r>
      <w:r w:rsidDel="00000000" w:rsidR="00000000" w:rsidRPr="00000000">
        <w:rPr>
          <w:rFonts w:ascii="Verdana" w:cs="Verdana" w:eastAsia="Verdana" w:hAnsi="Verdana"/>
          <w:i w:val="1"/>
          <w:color w:val="2f2f2f"/>
          <w:sz w:val="20"/>
          <w:szCs w:val="20"/>
          <w:rtl w:val="0"/>
        </w:rPr>
        <w:t xml:space="preserve">Personas</w:t>
      </w:r>
      <w:r w:rsidDel="00000000" w:rsidR="00000000" w:rsidRPr="00000000">
        <w:rPr>
          <w:rFonts w:ascii="Verdana" w:cs="Verdana" w:eastAsia="Verdana" w:hAnsi="Verdana"/>
          <w:color w:val="2f2f2f"/>
          <w:sz w:val="20"/>
          <w:szCs w:val="20"/>
          <w:rtl w:val="0"/>
        </w:rPr>
        <w:t xml:space="preserve">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hacia las vacantes ofertadas por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con base en su formación y aptitudes.</w:t>
      </w:r>
    </w:p>
    <w:p w:rsidR="00000000" w:rsidDel="00000000" w:rsidP="00000000" w:rsidRDefault="00000000" w:rsidRPr="00000000" w14:paraId="0000001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ESTADO" declara que:</w:t>
      </w:r>
    </w:p>
    <w:p w:rsidR="00000000" w:rsidDel="00000000" w:rsidP="00000000" w:rsidRDefault="00000000" w:rsidRPr="00000000" w14:paraId="0000001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Que en términos de los artículos 40 y 43, de la Constitución Política de los Estados Unidos Mexicanos; 1, 51 y 61, de la Constitución Política del Estado Libre y Soberano de Nuevo León, es un Estado integrante de la Federación.</w:t>
      </w:r>
    </w:p>
    <w:p w:rsidR="00000000" w:rsidDel="00000000" w:rsidP="00000000" w:rsidRDefault="00000000" w:rsidRPr="00000000" w14:paraId="0000001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Que la persona Titular del Poder Ejecutivo del Estado, es el jefe y responsable de la Administración Pública del Estado de Nuevo León, quien está facultado para celebrar, en el ámbito de su competencia, convenios para fortalecer la planeación de los programas de gobierno y en general, respecto a cualquier otro propósito de beneficio colectivo, con la asistencia de las personas titulares de las dependencias estatales señaladas en el proemio, quienes en ejercicio del refrendo ministerial y por razón de su competencia, respectivamente, comparecen a la suscripción del presente instrumento, de conformidad con lo prescrito en los artículos 1, 2, 61, 63, 111, 119, 124, 125 fracciones XI y XXVIII, y 188 de la Constitución Política del Estado Libre y Soberano de Nuevo León; 1, 2, 4, 7, 18, apartado A, fracción I, III y V, apartado B, fracción II, 22, 24, 26 y 29, de la Ley Orgánica de la Administración Pública para el Estado de Nuevo León.</w:t>
      </w:r>
    </w:p>
    <w:p w:rsidR="00000000" w:rsidDel="00000000" w:rsidP="00000000" w:rsidRDefault="00000000" w:rsidRPr="00000000" w14:paraId="0000001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Los CC. Javier Luis Navarro Velasco, Secretario General de Gobierno; Carlos Alberto Garza Ibarra, Secretario de Finanzas y Tesorero General del Estado; María Teresa Herrera Tello, Contralora General de la Contraloría y Transparencia Gubernamental; y Arturo Cavazos Leal, Encargado del Despacho de la Secretaría del Trabajo, respectivamente; cuentan con la facultad de suscribir el presente instrumento, de conformidad con las atribuciones que les confieren los artículos 119, 124 primer párrafo, 127 y 188 de la Constitución Política del Estado Libre y Soberano de Nuevo León, y 1, 8, 18 Apartado A fracciones I, III y V, Apartado B fracción II; 22 fracciones II, IX, XXIV y XXXVII; 24 fracciones V y XXXV; 26 fracciones I, III, IV y XL; y, 29 fracciones III, VIII, IX, XI, XVI y XVIII, de la Ley Orgánica de la Administración Pública para el Estado de Nuevo León; 1, 10 y 11, fracciones I y XIX, del Reglamento Interior de la Secretaría General de Gobierno; 2, 4, fracciones II, XXXVI y XLII, del Reglamento Interior de la Secretaría de Finanzas y Tesorería General del Estado; 3, 8, 9, fracciones I, XI, XV, XXXI y XXXVIII y demás relativos del Reglamento Interior de la Contraloría y Transparencia Gubernamental; 1, 10, 11, fracciones I, II, XXX y XXXIII del Reglamento Interior de la Secretaría del Trabajo.</w:t>
      </w:r>
    </w:p>
    <w:p w:rsidR="00000000" w:rsidDel="00000000" w:rsidP="00000000" w:rsidRDefault="00000000" w:rsidRPr="00000000" w14:paraId="0000001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Para el ejercicio de las funciones, atribuciones y despacho de los asuntos de su competencia, la Secretaría del Trabajo, cuenta, entre otras Unidades Administrativas, con la Dirección del Servicio Estatal de Empleo de Nuevo León, encargada de llevar a cabo la organización y operación del Servicio Estatal de Empleo en Nuevo León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conformidad con lo establecido en los artículos 5, fracción III, inciso c), y 27, fracción II, del Reglamento Interior de la Secretaría del Trabajo.</w:t>
      </w:r>
    </w:p>
    <w:p w:rsidR="00000000" w:rsidDel="00000000" w:rsidP="00000000" w:rsidRDefault="00000000" w:rsidRPr="00000000" w14:paraId="0000001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Para los efectos derivados de presente convenio, se señala como domicilio el de Palacio de Gobierno, ubicado en la manzana circundada por las calles de Zaragoza, 5 de Mayo, Gral. Zuazua y Explanada de los Héroes, Zona Centro, C.P. 64000, en la Ciudad de Monterrey, Nuevo León.</w:t>
      </w:r>
    </w:p>
    <w:p w:rsidR="00000000" w:rsidDel="00000000" w:rsidP="00000000" w:rsidRDefault="00000000" w:rsidRPr="00000000" w14:paraId="0000001E">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1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Nuevo León.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w:t>
      </w:r>
      <w:r w:rsidDel="00000000" w:rsidR="00000000" w:rsidRPr="00000000">
        <w:rPr>
          <w:rFonts w:ascii="Verdana" w:cs="Verdana" w:eastAsia="Verdana" w:hAnsi="Verdana"/>
          <w:color w:val="2f2f2f"/>
          <w:sz w:val="20"/>
          <w:szCs w:val="20"/>
          <w:rtl w:val="0"/>
        </w:rPr>
        <w:t xml:space="preserve">OBLIGACIONES DE "LAS PARTES". La "SECRETARÍA" y "EL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OSNE) y proporcionar información relativa a su funcionamiento.</w:t>
      </w:r>
    </w:p>
    <w:p w:rsidR="00000000" w:rsidDel="00000000" w:rsidP="00000000" w:rsidRDefault="00000000" w:rsidRPr="00000000" w14:paraId="0000002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las </w:t>
      </w:r>
      <w:r w:rsidDel="00000000" w:rsidR="00000000" w:rsidRPr="00000000">
        <w:rPr>
          <w:rFonts w:ascii="Verdana" w:cs="Verdana" w:eastAsia="Verdana" w:hAnsi="Verdana"/>
          <w:i w:val="1"/>
          <w:color w:val="2f2f2f"/>
          <w:sz w:val="20"/>
          <w:szCs w:val="20"/>
          <w:rtl w:val="0"/>
        </w:rPr>
        <w:t xml:space="preserve">Personas Buscadoras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2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2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2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rFonts w:ascii="Verdana" w:cs="Verdana" w:eastAsia="Verdana" w:hAnsi="Verdana"/>
          <w:i w:val="1"/>
          <w:color w:val="2f2f2f"/>
          <w:sz w:val="20"/>
          <w:szCs w:val="20"/>
          <w:rtl w:val="0"/>
        </w:rPr>
        <w:t xml:space="preserve">Personas Consejeras Laborales</w:t>
      </w:r>
      <w:r w:rsidDel="00000000" w:rsidR="00000000" w:rsidRPr="00000000">
        <w:rPr>
          <w:rFonts w:ascii="Verdana" w:cs="Verdana" w:eastAsia="Verdana" w:hAnsi="Verdana"/>
          <w:color w:val="2f2f2f"/>
          <w:sz w:val="20"/>
          <w:szCs w:val="20"/>
          <w:rtl w:val="0"/>
        </w:rPr>
        <w:t xml:space="preserve"> adscritas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OBLIGACIONES DE "EL ESTADO". "EL ESTADO" se obliga a:</w:t>
      </w:r>
    </w:p>
    <w:p w:rsidR="00000000" w:rsidDel="00000000" w:rsidP="00000000" w:rsidRDefault="00000000" w:rsidRPr="00000000" w14:paraId="0000003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3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Nuevo León" para la OSNE, o en su caso, realizar las gestiones conducentes para ello.</w:t>
      </w:r>
    </w:p>
    <w:p w:rsidR="00000000" w:rsidDel="00000000" w:rsidP="00000000" w:rsidRDefault="00000000" w:rsidRPr="00000000" w14:paraId="0000004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una persona servidora pública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2">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 la persona Titular o Encargado de Despacho de la Secretaría del Trabajo, a la persona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OSNE, que incluyan:</w:t>
      </w:r>
    </w:p>
    <w:p w:rsidR="00000000" w:rsidDel="00000000" w:rsidP="00000000" w:rsidRDefault="00000000" w:rsidRPr="00000000" w14:paraId="0000004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las </w:t>
      </w:r>
      <w:r w:rsidDel="00000000" w:rsidR="00000000" w:rsidRPr="00000000">
        <w:rPr>
          <w:rFonts w:ascii="Verdana" w:cs="Verdana" w:eastAsia="Verdana" w:hAnsi="Verdana"/>
          <w:i w:val="1"/>
          <w:color w:val="2f2f2f"/>
          <w:sz w:val="20"/>
          <w:szCs w:val="20"/>
          <w:rtl w:val="0"/>
        </w:rPr>
        <w:t xml:space="preserve">Personas Consejeras Laborales </w:t>
      </w:r>
      <w:r w:rsidDel="00000000" w:rsidR="00000000" w:rsidRPr="00000000">
        <w:rPr>
          <w:rFonts w:ascii="Verdana" w:cs="Verdana" w:eastAsia="Verdana" w:hAnsi="Verdana"/>
          <w:color w:val="2f2f2f"/>
          <w:sz w:val="20"/>
          <w:szCs w:val="20"/>
          <w:rtl w:val="0"/>
        </w:rPr>
        <w:t xml:space="preserve">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ESTADO" quien asume la responsabilidad total de las obligaciones que se deriven del mismo.</w:t>
      </w:r>
    </w:p>
    <w:p w:rsidR="00000000" w:rsidDel="00000000" w:rsidP="00000000" w:rsidRDefault="00000000" w:rsidRPr="00000000" w14:paraId="00000045">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OSNE en comodato o cesión de derechos de uso</w:t>
      </w:r>
    </w:p>
    <w:p w:rsidR="00000000" w:rsidDel="00000000" w:rsidP="00000000" w:rsidRDefault="00000000" w:rsidRPr="00000000" w14:paraId="00000047">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8">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Unidad del Servicio Nacional de Empleo,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4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los </w:t>
      </w:r>
      <w:r w:rsidDel="00000000" w:rsidR="00000000" w:rsidRPr="00000000">
        <w:rPr>
          <w:rFonts w:ascii="Verdana" w:cs="Verdana" w:eastAsia="Verdana" w:hAnsi="Verdana"/>
          <w:i w:val="1"/>
          <w:color w:val="2f2f2f"/>
          <w:sz w:val="20"/>
          <w:szCs w:val="20"/>
          <w:rtl w:val="0"/>
        </w:rPr>
        <w:t xml:space="preserve">Puestos de Trabajo Vacantes</w:t>
      </w:r>
      <w:r w:rsidDel="00000000" w:rsidR="00000000" w:rsidRPr="00000000">
        <w:rPr>
          <w:rFonts w:ascii="Verdana" w:cs="Verdana" w:eastAsia="Verdana" w:hAnsi="Verdana"/>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que se incorporen al mercado laboral.</w:t>
      </w:r>
    </w:p>
    <w:p w:rsidR="00000000" w:rsidDel="00000000" w:rsidP="00000000" w:rsidRDefault="00000000" w:rsidRPr="00000000" w14:paraId="0000004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4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2">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del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3">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5">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asegurarse que sea fidedigna.</w:t>
      </w:r>
    </w:p>
    <w:p w:rsidR="00000000" w:rsidDel="00000000" w:rsidP="00000000" w:rsidRDefault="00000000" w:rsidRPr="00000000" w14:paraId="00000057">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8">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9">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A">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B">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C">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5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$6'252,773.33 (SEIS MILLONES DOSCIENTOS CINCUENTA Y DOS MIL SETECIENTOS SETENTA Y TRES PESOS 33/100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federal aplicable.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RECURSOS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DURANTE EL EJERCICIO PRESUPUESTARIO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 "EL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 "EL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APORTACIONES DE "EL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ESTADO" se compromete a aportar los recursos que a</w:t>
      </w:r>
    </w:p>
    <w:p w:rsidR="00000000" w:rsidDel="00000000" w:rsidP="00000000" w:rsidRDefault="00000000" w:rsidRPr="00000000" w14:paraId="0000006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continuación se indican:</w:t>
      </w:r>
    </w:p>
    <w:p w:rsidR="00000000" w:rsidDel="00000000" w:rsidP="00000000" w:rsidRDefault="00000000" w:rsidRPr="00000000" w14:paraId="0000006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$20'000,000.00 (VEINTE MILLONES DE PESOS 00/100 M.N.), para el funcionamiento y administración de la OSNE, monto que deberá aplicarse para dar cumplimiento a lo establecido en la cláusula CUARTA, del presente instrumento;</w:t>
      </w:r>
    </w:p>
    <w:p w:rsidR="00000000" w:rsidDel="00000000" w:rsidP="00000000" w:rsidRDefault="00000000" w:rsidRPr="00000000" w14:paraId="0000006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$25'000,000.00 (VEINTICINCO MILLONES DE PESOS 00/100 M.N.), para su aplicación en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de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su registro y seguimiento, y</w:t>
      </w:r>
    </w:p>
    <w:p w:rsidR="00000000" w:rsidDel="00000000" w:rsidP="00000000" w:rsidRDefault="00000000" w:rsidRPr="00000000" w14:paraId="0000006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$1'000,000.00 (UN MILLÓN DE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en la atención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ESTADO", a través del Titular de la OSNE.</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LOS RECURSOS</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COMPROBACIÓN DE EROGACIONES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ESTADO" no deberán cobrar cantidad alguna, ya sea en dinero o en especie, ni imponer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7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 "EL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8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ESTADO" por su parte, se obliga a publicar al interior de la entidad federativa dicha información, en los términos de lo dispuesto en los artículos 1, 2, 4, 12, 95, 96 de la Ley de Transparencia y Acceso a la Información Pública del Estado de Nuevo León.</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141 de la Ley de Transparencia y Acceso a la Información Pública del Estado de Nuevo León, y artículos 4 y 36, de la Ley de Protección de Datos Personales en Posesión de Sujetos Obligados del Estado de Nuevo León.</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31 de marzo de 2023, que fue publicado en el Diario Oficial de la Federación el 24 de julio del mismo año, y en el Periódico Oficial de "EL ESTADO" el 02 de agosto de 2023.</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ESTADO", por conducto de la persona a cargo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ESTADO" se obliga a emitir un informe a la "SECRETARÍA", en el que se precisen las gestiones de los recursos que le fueron asignados y ministrados.</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también deberá ser publicado en el Periódico Oficial de "EL ESTADO".</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Subsecretaria de Empleo y Productividad Laboral, </w:t>
      </w:r>
      <w:r w:rsidDel="00000000" w:rsidR="00000000" w:rsidRPr="00000000">
        <w:rPr>
          <w:rFonts w:ascii="Verdana" w:cs="Verdana" w:eastAsia="Verdana" w:hAnsi="Verdana"/>
          <w:b w:val="1"/>
          <w:color w:val="2f2f2f"/>
          <w:sz w:val="20"/>
          <w:szCs w:val="20"/>
          <w:rtl w:val="0"/>
        </w:rPr>
        <w:t xml:space="preserve">Quiahuitl Chávez Domínguez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Hanzel Homero Alvizar Bañuelos</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Donaciano Domínguez Espinosa</w:t>
      </w:r>
      <w:r w:rsidDel="00000000" w:rsidR="00000000" w:rsidRPr="00000000">
        <w:rPr>
          <w:rFonts w:ascii="Verdana" w:cs="Verdana" w:eastAsia="Verdana" w:hAnsi="Verdana"/>
          <w:color w:val="2f2f2f"/>
          <w:sz w:val="20"/>
          <w:szCs w:val="20"/>
          <w:rtl w:val="0"/>
        </w:rPr>
        <w:t xml:space="preserve">.- Rúbrica.- Por el Estado: Gobernador Constitucional del Estado, </w:t>
      </w:r>
      <w:r w:rsidDel="00000000" w:rsidR="00000000" w:rsidRPr="00000000">
        <w:rPr>
          <w:rFonts w:ascii="Verdana" w:cs="Verdana" w:eastAsia="Verdana" w:hAnsi="Verdana"/>
          <w:b w:val="1"/>
          <w:color w:val="2f2f2f"/>
          <w:sz w:val="20"/>
          <w:szCs w:val="20"/>
          <w:rtl w:val="0"/>
        </w:rPr>
        <w:t xml:space="preserve">Samuel Alejandro García Sepúlveda</w:t>
      </w:r>
      <w:r w:rsidDel="00000000" w:rsidR="00000000" w:rsidRPr="00000000">
        <w:rPr>
          <w:rFonts w:ascii="Verdana" w:cs="Verdana" w:eastAsia="Verdana" w:hAnsi="Verdana"/>
          <w:color w:val="2f2f2f"/>
          <w:sz w:val="20"/>
          <w:szCs w:val="20"/>
          <w:rtl w:val="0"/>
        </w:rPr>
        <w:t xml:space="preserve">.- Rúbrica.- Secretario General de Gobierno, </w:t>
      </w:r>
      <w:r w:rsidDel="00000000" w:rsidR="00000000" w:rsidRPr="00000000">
        <w:rPr>
          <w:rFonts w:ascii="Verdana" w:cs="Verdana" w:eastAsia="Verdana" w:hAnsi="Verdana"/>
          <w:b w:val="1"/>
          <w:color w:val="2f2f2f"/>
          <w:sz w:val="20"/>
          <w:szCs w:val="20"/>
          <w:rtl w:val="0"/>
        </w:rPr>
        <w:t xml:space="preserve">Javier Luis Navarro Velasco</w:t>
      </w:r>
      <w:r w:rsidDel="00000000" w:rsidR="00000000" w:rsidRPr="00000000">
        <w:rPr>
          <w:rFonts w:ascii="Verdana" w:cs="Verdana" w:eastAsia="Verdana" w:hAnsi="Verdana"/>
          <w:color w:val="2f2f2f"/>
          <w:sz w:val="20"/>
          <w:szCs w:val="20"/>
          <w:rtl w:val="0"/>
        </w:rPr>
        <w:t xml:space="preserve">.- Rúbrica.- Secretario de Finanzas y Tesorero General del Estado, </w:t>
      </w:r>
      <w:r w:rsidDel="00000000" w:rsidR="00000000" w:rsidRPr="00000000">
        <w:rPr>
          <w:rFonts w:ascii="Verdana" w:cs="Verdana" w:eastAsia="Verdana" w:hAnsi="Verdana"/>
          <w:b w:val="1"/>
          <w:color w:val="2f2f2f"/>
          <w:sz w:val="20"/>
          <w:szCs w:val="20"/>
          <w:rtl w:val="0"/>
        </w:rPr>
        <w:t xml:space="preserve">Carlos Alberto Garza Ibarra</w:t>
      </w:r>
      <w:r w:rsidDel="00000000" w:rsidR="00000000" w:rsidRPr="00000000">
        <w:rPr>
          <w:rFonts w:ascii="Verdana" w:cs="Verdana" w:eastAsia="Verdana" w:hAnsi="Verdana"/>
          <w:color w:val="2f2f2f"/>
          <w:sz w:val="20"/>
          <w:szCs w:val="20"/>
          <w:rtl w:val="0"/>
        </w:rPr>
        <w:t xml:space="preserve">.- Rúbrica.- Contralora General de la Contraloría y Transparencia Gubernamental, </w:t>
      </w:r>
      <w:r w:rsidDel="00000000" w:rsidR="00000000" w:rsidRPr="00000000">
        <w:rPr>
          <w:rFonts w:ascii="Verdana" w:cs="Verdana" w:eastAsia="Verdana" w:hAnsi="Verdana"/>
          <w:b w:val="1"/>
          <w:color w:val="2f2f2f"/>
          <w:sz w:val="20"/>
          <w:szCs w:val="20"/>
          <w:rtl w:val="0"/>
        </w:rPr>
        <w:t xml:space="preserve">María Teresa Herrera Tello</w:t>
      </w:r>
      <w:r w:rsidDel="00000000" w:rsidR="00000000" w:rsidRPr="00000000">
        <w:rPr>
          <w:rFonts w:ascii="Verdana" w:cs="Verdana" w:eastAsia="Verdana" w:hAnsi="Verdana"/>
          <w:color w:val="2f2f2f"/>
          <w:sz w:val="20"/>
          <w:szCs w:val="20"/>
          <w:rtl w:val="0"/>
        </w:rPr>
        <w:t xml:space="preserve">.- Rúbrica.- Encargado del Despacho de la Secretaría del Trabajo, </w:t>
      </w:r>
      <w:r w:rsidDel="00000000" w:rsidR="00000000" w:rsidRPr="00000000">
        <w:rPr>
          <w:rFonts w:ascii="Verdana" w:cs="Verdana" w:eastAsia="Verdana" w:hAnsi="Verdana"/>
          <w:b w:val="1"/>
          <w:color w:val="2f2f2f"/>
          <w:sz w:val="20"/>
          <w:szCs w:val="20"/>
          <w:rtl w:val="0"/>
        </w:rPr>
        <w:t xml:space="preserve">Arturo Cavazos Leal</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