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b w:val="1"/>
          <w:sz w:val="18"/>
          <w:szCs w:val="18"/>
          <w:rtl w:val="0"/>
        </w:rPr>
        <w:t xml:space="preserve">SEXTO.</w:t>
      </w:r>
      <w:r w:rsidDel="00000000" w:rsidR="00000000" w:rsidRPr="00000000">
        <w:rPr>
          <w:sz w:val="18"/>
          <w:szCs w:val="18"/>
          <w:rtl w:val="0"/>
        </w:rPr>
        <w:t xml:space="preserve">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derivado del</w:t>
      </w:r>
    </w:p>
    <w:p w:rsidR="00000000" w:rsidDel="00000000" w:rsidP="00000000" w:rsidRDefault="00000000" w:rsidRPr="00000000" w14:paraId="00000010">
      <w:pPr>
        <w:shd w:fill="ffffff" w:val="clear"/>
        <w:spacing w:after="100" w:lineRule="auto"/>
        <w:jc w:val="both"/>
        <w:rPr>
          <w:sz w:val="18"/>
          <w:szCs w:val="18"/>
        </w:rPr>
      </w:pPr>
      <w:r w:rsidDel="00000000" w:rsidR="00000000" w:rsidRPr="00000000">
        <w:rPr>
          <w:sz w:val="18"/>
          <w:szCs w:val="18"/>
          <w:rtl w:val="0"/>
        </w:rPr>
        <w:t xml:space="preserve">virus Covid-19, mediante el cual se reactivaron las sesiones ordinarias tanto del propio Pleno como de sus Comisiones Permanentes, para lo cual partió de dos premisas: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funcionamiento de la Comisión Especial y la continuidad operativa de las áreas administrativas permitieron que el Consejo mantuviese el adecuado ejercicio de las facultades que constitucional y legalmente le fueron conferidas.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e.firma.</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Por otro lado, con fundamento en los artículos 77 y 81,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La vigencia del Acuerdo en comento se prorrogó por el diverso 19/2020;</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OCTAVO.</w:t>
      </w:r>
      <w:r w:rsidDel="00000000" w:rsidR="00000000" w:rsidRPr="00000000">
        <w:rPr>
          <w:sz w:val="18"/>
          <w:szCs w:val="18"/>
          <w:rtl w:val="0"/>
        </w:rPr>
        <w:t xml:space="preserve">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NOVENO.</w:t>
      </w:r>
      <w:r w:rsidDel="00000000" w:rsidR="00000000" w:rsidRPr="00000000">
        <w:rPr>
          <w:sz w:val="18"/>
          <w:szCs w:val="18"/>
          <w:rtl w:val="0"/>
        </w:rPr>
        <w:t xml:space="preserve">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DÉCIMO.</w:t>
      </w:r>
      <w:r w:rsidDel="00000000" w:rsidR="00000000" w:rsidRPr="00000000">
        <w:rPr>
          <w:sz w:val="18"/>
          <w:szCs w:val="18"/>
          <w:rtl w:val="0"/>
        </w:rPr>
        <w:t xml:space="preserve">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DECIMOPRIMERO. </w:t>
      </w:r>
      <w:r w:rsidDel="00000000" w:rsidR="00000000" w:rsidRPr="00000000">
        <w:rPr>
          <w:sz w:val="18"/>
          <w:szCs w:val="18"/>
          <w:rtl w:val="0"/>
        </w:rPr>
        <w:t xml:space="preserve">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 y</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b w:val="1"/>
          <w:sz w:val="18"/>
          <w:szCs w:val="18"/>
          <w:rtl w:val="0"/>
        </w:rPr>
        <w:t xml:space="preserve">DECIMOSEGUNDO.</w:t>
      </w:r>
      <w:r w:rsidDel="00000000" w:rsidR="00000000" w:rsidRPr="00000000">
        <w:rPr>
          <w:sz w:val="18"/>
          <w:szCs w:val="18"/>
          <w:rtl w:val="0"/>
        </w:rPr>
        <w:t xml:space="preserve"> Es una realidad que la pandemia subsiste como un peligro para la salud de todas y todos, de modo que la reactivación no se realiza en un contexto de "normalidad". Adicionalmente, el esquema implementado conforme a lo descrito en los Considerandos anteriores ha permitido el restablecimiento total en las actividades del Consejo, incluido el de todos sus órganos colegiados y el de las áreas administrativas. Así, la persistencia del riesgo sanitario aunado a la operatividad del esquema implementado hace imperante que subsistan las medidas de sana distancia y de reducción de la movilidad necesarias para enfrentar la</w:t>
      </w:r>
    </w:p>
    <w:p w:rsidR="00000000" w:rsidDel="00000000" w:rsidP="00000000" w:rsidRDefault="00000000" w:rsidRPr="00000000" w14:paraId="0000001B">
      <w:pPr>
        <w:shd w:fill="ffffff" w:val="clear"/>
        <w:spacing w:after="100" w:lineRule="auto"/>
        <w:jc w:val="both"/>
        <w:rPr>
          <w:sz w:val="18"/>
          <w:szCs w:val="18"/>
        </w:rPr>
      </w:pPr>
      <w:r w:rsidDel="00000000" w:rsidR="00000000" w:rsidRPr="00000000">
        <w:rPr>
          <w:sz w:val="18"/>
          <w:szCs w:val="18"/>
          <w:rtl w:val="0"/>
        </w:rPr>
        <w:t xml:space="preserve">contingencia, y se insiste en la utilización de tecnologías de la información y de las comunicaciones, el trabajo a distancia y el máximo aprovechamiento de las capacidades productivas de las unidades administrativas del Consejo de la Judicatura Federal. Consecuentemente, resulta necesario ampliar la vigencia del citado Acuerdo General 22/2020 a efecto de dar continuidad a las acciones y medidas preventivas adoptadas en el contexto de la contingencia sanitaria.</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sz w:val="18"/>
          <w:szCs w:val="18"/>
          <w:rtl w:val="0"/>
        </w:rPr>
        <w:t xml:space="preserve">En consecuencia,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w:t>
      </w:r>
      <w:r w:rsidDel="00000000" w:rsidR="00000000" w:rsidRPr="00000000">
        <w:rPr>
          <w:color w:val="2f2f2f"/>
          <w:sz w:val="18"/>
          <w:szCs w:val="18"/>
          <w:rtl w:val="0"/>
        </w:rPr>
        <w:t xml:space="preserve">SARS-CoV2</w:t>
      </w:r>
      <w:r w:rsidDel="00000000" w:rsidR="00000000" w:rsidRPr="00000000">
        <w:rPr>
          <w:sz w:val="18"/>
          <w:szCs w:val="18"/>
          <w:rtl w:val="0"/>
        </w:rPr>
        <w:t xml:space="preserve">, este Pleno del Consejo de la Judicatura Federal expide el siguiente</w:t>
      </w:r>
    </w:p>
    <w:p w:rsidR="00000000" w:rsidDel="00000000" w:rsidP="00000000" w:rsidRDefault="00000000" w:rsidRPr="00000000" w14:paraId="0000001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ARTÍCULO ÚNICO.</w:t>
      </w:r>
      <w:r w:rsidDel="00000000" w:rsidR="00000000" w:rsidRPr="00000000">
        <w:rPr>
          <w:sz w:val="18"/>
          <w:szCs w:val="18"/>
          <w:rtl w:val="0"/>
        </w:rPr>
        <w:t xml:space="preserve"> Se reforma el artículo 1 del Acuerdo General 22/2020, del Pleno del Consejo de la Judicatura Federal, relativo a las medidas necesarias para reactivar la totalidad de las actividades del Consejo en el contexto de la contingencia por el virus </w:t>
      </w:r>
      <w:r w:rsidDel="00000000" w:rsidR="00000000" w:rsidRPr="00000000">
        <w:rPr>
          <w:color w:val="2f2f2f"/>
          <w:sz w:val="18"/>
          <w:szCs w:val="18"/>
          <w:rtl w:val="0"/>
        </w:rPr>
        <w:t xml:space="preserve">Covid</w:t>
      </w:r>
      <w:r w:rsidDel="00000000" w:rsidR="00000000" w:rsidRPr="00000000">
        <w:rPr>
          <w:sz w:val="18"/>
          <w:szCs w:val="18"/>
          <w:rtl w:val="0"/>
        </w:rPr>
        <w:t xml:space="preserve">-19, para quedar como sigue:</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Artículo 1 Vigencia.</w:t>
      </w:r>
      <w:r w:rsidDel="00000000" w:rsidR="00000000" w:rsidRPr="00000000">
        <w:rPr>
          <w:sz w:val="18"/>
          <w:szCs w:val="18"/>
          <w:rtl w:val="0"/>
        </w:rPr>
        <w:t xml:space="preserve">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30 de junio de 2021."</w:t>
      </w:r>
    </w:p>
    <w:p w:rsidR="00000000" w:rsidDel="00000000" w:rsidP="00000000" w:rsidRDefault="00000000" w:rsidRPr="00000000" w14:paraId="00000020">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al día siguiente de su aprobación.</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 fue aprobado por el Pleno del propio Consejo, en sesión ordinaria de 24 de febrero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24 de febrero de 2021.- Conste.-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