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Resolución por la que se declara el inicio del procedimiento administrativo de examen de vigencia de la cuota compensatoria impuesta a las importaciones de tubería de acero sin costura originarias de Japón, independientemente del país de procedencia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5 de noviembre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Secretaría de Economía.</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RESOLUCIÓN POR LA QUE SE DECLARA EL INICIO DEL PROCEDIMIENTO ADMINISTRATIVO DE EXAMEN DE VIGENCIA DE LA CUOTA COMPENSATORIA IMPUESTA A LAS IMPORTACIONES DE TUBERÍA DE ACERO SIN COSTURA ORIGINARIAS DE JAPÓN, INDEPENDIENTEMENTE DEL PAÍS DE PROCEDENCIA</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Visto para resolver en la etapa de inicio el expediente administrativo E.C. 28/20 radicado en la Unidad de Prácticas Comerciales Internacionales (UPCI) de la Secretaría de Economía (la "Secretaría"), se emite la presente Resolución de conformidad con los siguientes</w:t>
      </w:r>
    </w:p>
    <w:p w:rsidR="00000000" w:rsidDel="00000000" w:rsidP="00000000" w:rsidRDefault="00000000" w:rsidRPr="00000000" w14:paraId="00000008">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RESULTANDOS</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 Resolución final de la investigación antidumping</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El 10 de noviembre de 2000 se publicó en el Diario Oficial de la Federación (DOF) la Resolución final de la investigación antidumping sobre las importaciones de tubería de acero sin costura originarias de Japón, independientemente del país de procedencia. Mediante esta Resolución, la Secretaría determinó una cuota compensatoria definitiva de 99.9%.</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 Exámenes de vigencia previos y revisión de oficio</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El 4 de octubre de 2006, el 20 de abril de 2012 y el 18 de octubre de 2016 se publicaron en el DOF la Resolución final del primer examen de vigencia, del segundo examen de vigencia y revisión de oficio, y del tercer examen de vigencia de la cuota compensatoria, respectivamente, por medio de las cuales se determinó prorrogar la vigencia de la cuota compensatoria a que se refiere el punto anterior.</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 Aviso sobre la vigencia de cuotas compensatorias</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w:t>
      </w:r>
      <w:r w:rsidDel="00000000" w:rsidR="00000000" w:rsidRPr="00000000">
        <w:rPr>
          <w:rFonts w:ascii="Verdana" w:cs="Verdana" w:eastAsia="Verdana" w:hAnsi="Verdana"/>
          <w:color w:val="2f2f2f"/>
          <w:sz w:val="20"/>
          <w:szCs w:val="20"/>
          <w:rtl w:val="0"/>
        </w:rPr>
        <w:t xml:space="preserve"> El 28 de agosto de 2019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a la tubería de acero sin costura originaria de Japón, objeto de este examen.</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 Manifestación de interés</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w:t>
      </w:r>
      <w:r w:rsidDel="00000000" w:rsidR="00000000" w:rsidRPr="00000000">
        <w:rPr>
          <w:rFonts w:ascii="Verdana" w:cs="Verdana" w:eastAsia="Verdana" w:hAnsi="Verdana"/>
          <w:color w:val="2f2f2f"/>
          <w:sz w:val="20"/>
          <w:szCs w:val="20"/>
          <w:rtl w:val="0"/>
        </w:rPr>
        <w:t xml:space="preserve"> El 23 de septiembre de 2020 Tubos de Acero de México, S.A. ("TAMSA"), manifestó su interés en que la Secretaría inicie el examen de vigencia de la cuota compensatoria definitiva impuesta a las importaciones de tubería de acero sin costura originarias de Japón. Propuso como periodo de examen el comprendido del 1 de julio de 2019 al 30 de junio de 2020.</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w:t>
      </w:r>
      <w:r w:rsidDel="00000000" w:rsidR="00000000" w:rsidRPr="00000000">
        <w:rPr>
          <w:rFonts w:ascii="Verdana" w:cs="Verdana" w:eastAsia="Verdana" w:hAnsi="Verdana"/>
          <w:color w:val="2f2f2f"/>
          <w:sz w:val="20"/>
          <w:szCs w:val="20"/>
          <w:rtl w:val="0"/>
        </w:rPr>
        <w:t xml:space="preserve"> TAMSA es una empresa constituida conforme a las leyes mexicanas. Su principal actividad consiste, entre otras, en fabricar tubos de hierro, acero y de cualquier otro metal, incluido el producto objeto de examen. Para acreditar su calidad de productor nacional de tubería de acero sin costura, presentó carta de la Cámara Nacional de la Industria del Hierro y del Acero del 4 de septiembre de 2020, que así la acredita.</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 Producto objeto de examen</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 Descripción del producto</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 </w:t>
      </w:r>
      <w:r w:rsidDel="00000000" w:rsidR="00000000" w:rsidRPr="00000000">
        <w:rPr>
          <w:rFonts w:ascii="Verdana" w:cs="Verdana" w:eastAsia="Verdana" w:hAnsi="Verdana"/>
          <w:color w:val="2f2f2f"/>
          <w:sz w:val="20"/>
          <w:szCs w:val="20"/>
          <w:rtl w:val="0"/>
        </w:rPr>
        <w:t xml:space="preserve">El producto objeto de examen es la tubería de acero sin costura al carbono o acero aleado laminada en caliente, con diámetro exterior igual o mayor a 101.6 mm sin exceder de 460 mm, sin recubrimiento u otros trabajos de superficie, independientemente del espesor de pared o extremos. El producto se conoce comúnmente como tubería de conducción (standard pipe), tubería de línea (line pipe) o tubería de presión (pressure pipe). No son objeto de examen la tubería inoxidable, barra hueca, tubería mecánica, tubería de perforación, de producción y revestimiento, tubería con costura, spool y serpentines.</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 Tratamiento arancelario</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 </w:t>
      </w:r>
      <w:r w:rsidDel="00000000" w:rsidR="00000000" w:rsidRPr="00000000">
        <w:rPr>
          <w:rFonts w:ascii="Verdana" w:cs="Verdana" w:eastAsia="Verdana" w:hAnsi="Verdana"/>
          <w:color w:val="2f2f2f"/>
          <w:sz w:val="20"/>
          <w:szCs w:val="20"/>
          <w:rtl w:val="0"/>
        </w:rPr>
        <w:t xml:space="preserve">El producto objeto de examen ingresa al mercado nacional a través de las fracciones arancelarias 7304.11.01, 7304.11.02, 7304.11.03, 7304.11.99, 7304.19.01, 7304.19.02, 7304.19.03, 7304.19.91, 7304.19.99, 7304.39.10, 7304.39.11, 7304.39.12, 7304.39.13, 7304.39.14, 7304.39.15, 7304.39.91, 7304.39.92, 7304.39.99, 7304.59.11, 7304.59.12, 7304.59.13, 7304.59.14, 7304.59.15, 7304.59.16, 7304.59.91, 7304.59.92 y 7304.59.99 de la Tarifa de la Ley de los Impuestos Generales de Importación y de</w:t>
      </w:r>
    </w:p>
    <w:p w:rsidR="00000000" w:rsidDel="00000000" w:rsidP="00000000" w:rsidRDefault="00000000" w:rsidRPr="00000000" w14:paraId="00000017">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Exportación (TIGIE), cuya descripción es la siguiente:</w:t>
      </w:r>
    </w:p>
    <w:tbl>
      <w:tblPr>
        <w:tblStyle w:val="Table1"/>
        <w:tblW w:w="85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95"/>
        <w:gridCol w:w="5910"/>
        <w:tblGridChange w:id="0">
          <w:tblGrid>
            <w:gridCol w:w="2595"/>
            <w:gridCol w:w="5910"/>
          </w:tblGrid>
        </w:tblGridChange>
      </w:tblGrid>
      <w:tr>
        <w:trPr>
          <w:trHeight w:val="56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18">
            <w:pPr>
              <w:spacing w:after="100" w:lineRule="auto"/>
              <w:ind w:left="36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Codificación arancelaria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19">
            <w:pPr>
              <w:spacing w:after="100" w:lineRule="auto"/>
              <w:ind w:left="36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Descripción</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A">
            <w:pPr>
              <w:spacing w:after="100" w:lineRule="auto"/>
              <w:ind w:left="3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Capítulo: 73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B">
            <w:pPr>
              <w:spacing w:after="100" w:lineRule="auto"/>
              <w:ind w:left="3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Manufacturas de fundición, hierro o acero</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C">
            <w:pPr>
              <w:spacing w:after="100" w:lineRule="auto"/>
              <w:ind w:left="3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Partida: 7304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D">
            <w:pPr>
              <w:spacing w:after="100" w:lineRule="auto"/>
              <w:ind w:left="3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Tubos y perfiles huecos, sin costura (sin soldadura), de hierro o acero.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E">
            <w:pPr>
              <w:spacing w:after="100" w:lineRule="auto"/>
              <w:ind w:left="3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Subpartida 7304.11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F">
            <w:pPr>
              <w:spacing w:after="100" w:lineRule="auto"/>
              <w:ind w:left="3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Tubos de los tipos utilizados en oleoductos o gasoductos: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0">
            <w:pPr>
              <w:spacing w:after="100" w:lineRule="auto"/>
              <w:ind w:left="3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1">
            <w:pPr>
              <w:spacing w:after="100" w:lineRule="auto"/>
              <w:ind w:left="3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De acero inoxidable.</w:t>
            </w:r>
          </w:p>
        </w:tc>
      </w:tr>
      <w:tr>
        <w:trPr>
          <w:trHeight w:val="126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2">
            <w:pPr>
              <w:spacing w:after="100" w:lineRule="auto"/>
              <w:ind w:left="3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Fracción 7304.11.01</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3">
            <w:pPr>
              <w:spacing w:after="100" w:lineRule="auto"/>
              <w:ind w:left="3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Tubos laminados en caliente, sin recubrimiento u otros trabajos de superficie, incluidos los tubos laminados en caliente barnizados o laqueados: de diámetro exterior inferior o igual a 114.3 mm y espesor de pared igual o superior a 4 mm sin exceder de 19.5 mm.</w:t>
            </w:r>
          </w:p>
        </w:tc>
      </w:tr>
      <w:tr>
        <w:trPr>
          <w:trHeight w:val="150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4">
            <w:pPr>
              <w:spacing w:after="100" w:lineRule="auto"/>
              <w:ind w:left="3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Fracción 7304.11.02</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5">
            <w:pPr>
              <w:spacing w:after="100" w:lineRule="auto"/>
              <w:ind w:left="3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Tubos laminados en caliente, sin recubrimiento u otros trabajos de superficie, incluidos los tubos laminados en caliente barnizados o laqueados: de diámetro exterior superior a 114.3 mm sin exceder de 406.4 mm y espesor de pared igual o superior a 6.35 mm sin exceder de 38.1 mm.</w:t>
            </w:r>
          </w:p>
        </w:tc>
      </w:tr>
      <w:tr>
        <w:trPr>
          <w:trHeight w:val="126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6">
            <w:pPr>
              <w:spacing w:after="100" w:lineRule="auto"/>
              <w:ind w:left="3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Fracción 7304.11.03</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7">
            <w:pPr>
              <w:spacing w:after="100" w:lineRule="auto"/>
              <w:ind w:left="3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Tubos laminados en caliente, sin recubrimiento u otros trabajos de superficie, incluidos los tubos laminados en caliente barnizados o laqueados: de diámetro exterior superior a 406.4 mm y espesor de pared igual o superior a 9.52 mm sin exceder de 31.75 mm.</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8">
            <w:pPr>
              <w:spacing w:after="100" w:lineRule="auto"/>
              <w:ind w:left="3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Fracción 7304.11.99</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9">
            <w:pPr>
              <w:spacing w:after="100" w:lineRule="auto"/>
              <w:ind w:left="3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A">
            <w:pPr>
              <w:spacing w:after="100" w:lineRule="auto"/>
              <w:ind w:left="3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Subpartida 7304.19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B">
            <w:pPr>
              <w:spacing w:after="100" w:lineRule="auto"/>
              <w:ind w:left="3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Los demás.</w:t>
            </w:r>
          </w:p>
        </w:tc>
      </w:tr>
      <w:tr>
        <w:trPr>
          <w:trHeight w:val="128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C">
            <w:pPr>
              <w:spacing w:after="100" w:lineRule="auto"/>
              <w:ind w:left="3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Fracción 7304.19.01</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D">
            <w:pPr>
              <w:spacing w:after="100" w:lineRule="auto"/>
              <w:ind w:left="3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Tubos laminados en caliente, sin recubrimiento u otros trabajos de superficie, incluidos los tubos laminados en caliente barnizados o laqueados: de diámetro exterior inferior o igual a 114.3 mm y espesor de pared igual o superior a 4 mm sin exceder de 19.5 mm.</w:t>
            </w:r>
          </w:p>
        </w:tc>
      </w:tr>
    </w:tbl>
    <w:p w:rsidR="00000000" w:rsidDel="00000000" w:rsidP="00000000" w:rsidRDefault="00000000" w:rsidRPr="00000000" w14:paraId="0000002E">
      <w:pPr>
        <w:shd w:fill="ffffff" w:val="clear"/>
        <w:spacing w:after="2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2"/>
        <w:tblW w:w="85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95"/>
        <w:gridCol w:w="5910"/>
        <w:tblGridChange w:id="0">
          <w:tblGrid>
            <w:gridCol w:w="2595"/>
            <w:gridCol w:w="5910"/>
          </w:tblGrid>
        </w:tblGridChange>
      </w:tblGrid>
      <w:tr>
        <w:trPr>
          <w:trHeight w:val="152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F">
            <w:pPr>
              <w:spacing w:after="100" w:lineRule="auto"/>
              <w:ind w:left="3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Fracción 7304.19.02</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30">
            <w:pPr>
              <w:spacing w:after="100" w:lineRule="auto"/>
              <w:ind w:left="3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Tubos laminados en caliente, sin recubrimiento u otros trabajos de superficie, incluidos los tubos laminados en caliente barnizados o laqueados: de diámetro exterior superior a 114.3 mm sin exceder de 406.4 mm y espesor de pared igual o superior a 6.35 mm sin exceder de 38.1 mm.</w:t>
            </w:r>
          </w:p>
        </w:tc>
      </w:tr>
      <w:tr>
        <w:trPr>
          <w:trHeight w:val="126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31">
            <w:pPr>
              <w:spacing w:after="100" w:lineRule="auto"/>
              <w:ind w:left="3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Fracción 7304.19.03</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32">
            <w:pPr>
              <w:spacing w:after="100" w:lineRule="auto"/>
              <w:ind w:left="3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Tubos laminados en caliente, sin recubrimiento u otros trabajos de superficie, incluidos los tubos laminados en caliente barnizados o laqueados: de diámetro exterior superior a 406.4 mm y espesor de pared igual o superior a 9.52 mm sin exceder de 31.75 mm.</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33">
            <w:pPr>
              <w:spacing w:after="100" w:lineRule="auto"/>
              <w:ind w:left="3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Fracción 7304.19.91</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34">
            <w:pPr>
              <w:spacing w:after="100" w:lineRule="auto"/>
              <w:ind w:left="3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Los demás con un diámetro exterior inferior o igual a 406.4 mm.</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35">
            <w:pPr>
              <w:spacing w:after="100" w:lineRule="auto"/>
              <w:ind w:left="3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Fracción 7304.19.99</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36">
            <w:pPr>
              <w:spacing w:after="100" w:lineRule="auto"/>
              <w:ind w:left="3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7">
            <w:pPr>
              <w:spacing w:after="100" w:lineRule="auto"/>
              <w:ind w:left="3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Subpartida 7304.39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8">
            <w:pPr>
              <w:spacing w:after="100" w:lineRule="auto"/>
              <w:ind w:left="3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Los demás, de sección circular, de hierro o acero sin alear</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9">
            <w:pPr>
              <w:spacing w:after="100" w:lineRule="auto"/>
              <w:ind w:left="3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A">
            <w:pPr>
              <w:spacing w:after="100" w:lineRule="auto"/>
              <w:ind w:left="3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Los demás.</w:t>
            </w:r>
          </w:p>
        </w:tc>
      </w:tr>
      <w:tr>
        <w:trPr>
          <w:trHeight w:val="126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3B">
            <w:pPr>
              <w:spacing w:after="100" w:lineRule="auto"/>
              <w:ind w:left="3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Fracción 7304.39.10</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3C">
            <w:pPr>
              <w:spacing w:after="100" w:lineRule="auto"/>
              <w:ind w:left="3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Tubos llamados "térmicos", sin recubrimientos distintos de los obtenidos por laqueado y barnizado o sin trabajos de superficie, de diámetro exterior inferior o igual a 114.3 mm y espesor de pared igual o superior a 4 mm, sin exceder 19.5 mm.</w:t>
            </w:r>
          </w:p>
        </w:tc>
      </w:tr>
      <w:tr>
        <w:trPr>
          <w:trHeight w:val="119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3D">
            <w:pPr>
              <w:spacing w:after="100" w:lineRule="auto"/>
              <w:ind w:left="3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Fracción 7304.39.11</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3E">
            <w:pPr>
              <w:spacing w:after="100" w:lineRule="auto"/>
              <w:ind w:left="3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Tubos llamados de "conducción", sin recubrimientos distintos de los obtenidos por laqueado y barnizado o sin trabajos de superficie, de diámetro exterior inferior o igual a 114.3 mm y espesor de pared igual o superior a 4 mm, sin exceder 19.5 mm.</w:t>
            </w:r>
          </w:p>
        </w:tc>
      </w:tr>
    </w:tbl>
    <w:p w:rsidR="00000000" w:rsidDel="00000000" w:rsidP="00000000" w:rsidRDefault="00000000" w:rsidRPr="00000000" w14:paraId="0000003F">
      <w:pPr>
        <w:shd w:fill="ffffff" w:val="clear"/>
        <w:spacing w:after="2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40">
      <w:pPr>
        <w:shd w:fill="ffffff" w:val="clear"/>
        <w:spacing w:after="2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3"/>
        <w:tblW w:w="85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95"/>
        <w:gridCol w:w="5910"/>
        <w:tblGridChange w:id="0">
          <w:tblGrid>
            <w:gridCol w:w="2595"/>
            <w:gridCol w:w="5910"/>
          </w:tblGrid>
        </w:tblGridChange>
      </w:tblGrid>
      <w:tr>
        <w:trPr>
          <w:trHeight w:val="150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41">
            <w:pPr>
              <w:spacing w:after="100" w:lineRule="auto"/>
              <w:ind w:left="3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Fracción 7304.39.12</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42">
            <w:pPr>
              <w:spacing w:after="100" w:lineRule="auto"/>
              <w:ind w:left="3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Tubos llamados "térmicos", sin recubrimientos distintos de los obtenidos por laqueado y barnizado o sin trabajos de superficie, de diámetro exterior superior a 114.3 mm sin exceder de 406.4 mm y espesor de pared igual o superior a 6.35 mm sin exceder de 38.1 mm.</w:t>
            </w:r>
          </w:p>
        </w:tc>
      </w:tr>
      <w:tr>
        <w:trPr>
          <w:trHeight w:val="149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43">
            <w:pPr>
              <w:spacing w:after="100" w:lineRule="auto"/>
              <w:ind w:left="3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Fracción 7304.39.13</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44">
            <w:pPr>
              <w:spacing w:after="100" w:lineRule="auto"/>
              <w:ind w:left="3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Tubos llamados de "conducción", sin recubrimientos distintos de los obtenidos por laqueado y barnizado o sin trabajos de superficie, de diámetro exterior superior a 114.3 mm sin exceder de 406.4 mm y espesor de pared igual o superior a 6.35 mm sin exceder de 38.1 mm.</w:t>
            </w:r>
          </w:p>
        </w:tc>
      </w:tr>
      <w:tr>
        <w:trPr>
          <w:trHeight w:val="125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45">
            <w:pPr>
              <w:spacing w:after="100" w:lineRule="auto"/>
              <w:ind w:left="3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Fracción 7304.39.14</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46">
            <w:pPr>
              <w:spacing w:after="100" w:lineRule="auto"/>
              <w:ind w:left="3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Tubos llamados "térmicos", sin recubrimientos distintos de los obtenidos por laqueado y barnizado o sin trabajos de superficie, de diámetro exterior superior a 406.4 mm y espesor de pared igual o superior a 9.52 mm sin exceder de 31.75 mm.</w:t>
            </w:r>
          </w:p>
        </w:tc>
      </w:tr>
      <w:tr>
        <w:trPr>
          <w:trHeight w:val="125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47">
            <w:pPr>
              <w:spacing w:after="100" w:lineRule="auto"/>
              <w:ind w:left="3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Fracción 7304.39.15</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48">
            <w:pPr>
              <w:spacing w:after="100" w:lineRule="auto"/>
              <w:ind w:left="3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Tubos llamados de "conducción", sin recubrimientos distintos de los obtenidos por laqueado y barnizado o sin trabajos de superficie, de diámetro exterior superior a 406.4 mm y espesor de pared igual o superior a 9.52 mm sin exceder de 31.75 mm.</w:t>
            </w:r>
          </w:p>
        </w:tc>
      </w:tr>
      <w:tr>
        <w:trPr>
          <w:trHeight w:val="101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49">
            <w:pPr>
              <w:spacing w:after="100" w:lineRule="auto"/>
              <w:ind w:left="3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Fracción 7304.39.91</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4A">
            <w:pPr>
              <w:spacing w:after="100" w:lineRule="auto"/>
              <w:ind w:left="3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Los demás de diámetro exterior superior o igual a 38.1 mm, pero inferior o igual a 406.4 mm, con un espesor de pared superior a 12.7 mm.</w:t>
            </w:r>
          </w:p>
        </w:tc>
      </w:tr>
      <w:tr>
        <w:trPr>
          <w:trHeight w:val="101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4B">
            <w:pPr>
              <w:spacing w:after="100" w:lineRule="auto"/>
              <w:ind w:left="3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Fracción 7304.39.92</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4C">
            <w:pPr>
              <w:spacing w:after="100" w:lineRule="auto"/>
              <w:ind w:left="3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Los demás de diámetro exterior superior o igual a 38.1 mm, pero inferior o igual a 114.3 mm, con un espesor de pared superior a 6.4 mm pero inferior o igual a 12.7 mm.</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4D">
            <w:pPr>
              <w:spacing w:after="100" w:lineRule="auto"/>
              <w:ind w:left="3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Fracción 7304.39.99</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4E">
            <w:pPr>
              <w:spacing w:after="100" w:lineRule="auto"/>
              <w:ind w:left="3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Los demás.</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F">
            <w:pPr>
              <w:spacing w:after="100" w:before="40" w:lineRule="auto"/>
              <w:ind w:left="3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Subpartida 7304.59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0">
            <w:pPr>
              <w:spacing w:after="100" w:before="40" w:lineRule="auto"/>
              <w:ind w:left="3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Los demás, de sección circular, de los demás aceros aleados:</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1">
            <w:pPr>
              <w:spacing w:after="100" w:before="40" w:lineRule="auto"/>
              <w:ind w:left="3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2">
            <w:pPr>
              <w:spacing w:after="100" w:before="40" w:lineRule="auto"/>
              <w:ind w:left="3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Los demás.</w:t>
            </w:r>
          </w:p>
        </w:tc>
      </w:tr>
      <w:tr>
        <w:trPr>
          <w:trHeight w:val="125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53">
            <w:pPr>
              <w:spacing w:after="100" w:lineRule="auto"/>
              <w:ind w:left="3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Fracción 7304.59.11</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54">
            <w:pPr>
              <w:spacing w:after="100" w:lineRule="auto"/>
              <w:ind w:left="3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Tubos llamados "térmicos", sin recubrimientos distintos de los obtenidos por laqueado y barnizado o sin trabajos de superficie, de diámetro exterior inferior o igual a 114.3 mm y espesor de pared igual o superior a 4 mm sin exceder de 19.5 mm.</w:t>
            </w:r>
          </w:p>
        </w:tc>
      </w:tr>
      <w:tr>
        <w:trPr>
          <w:trHeight w:val="126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55">
            <w:pPr>
              <w:spacing w:after="100" w:lineRule="auto"/>
              <w:ind w:left="3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Fracción 7304.59.12</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56">
            <w:pPr>
              <w:spacing w:after="100" w:lineRule="auto"/>
              <w:ind w:left="3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Tubos llamados de "conducción", sin recubrimientos distintos de los obtenidos por laqueado y barnizado o sin trabajos de superficie, de diámetro exterior inferior o igual a 114.3 mm y espesor de pared igual o superior a 4 mm sin exceder de 19.5 mm.</w:t>
            </w:r>
          </w:p>
        </w:tc>
      </w:tr>
    </w:tbl>
    <w:p w:rsidR="00000000" w:rsidDel="00000000" w:rsidP="00000000" w:rsidRDefault="00000000" w:rsidRPr="00000000" w14:paraId="00000057">
      <w:pPr>
        <w:shd w:fill="ffffff" w:val="clear"/>
        <w:spacing w:after="2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4"/>
        <w:tblW w:w="85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95"/>
        <w:gridCol w:w="5910"/>
        <w:tblGridChange w:id="0">
          <w:tblGrid>
            <w:gridCol w:w="2595"/>
            <w:gridCol w:w="5910"/>
          </w:tblGrid>
        </w:tblGridChange>
      </w:tblGrid>
      <w:tr>
        <w:trPr>
          <w:trHeight w:val="150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58">
            <w:pPr>
              <w:spacing w:after="100" w:lineRule="auto"/>
              <w:ind w:left="3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Fracción 7304.59.13</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59">
            <w:pPr>
              <w:spacing w:after="100" w:lineRule="auto"/>
              <w:ind w:left="3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Tubos llamados "térmicos", sin recubrimientos distintos de los obtenidos por laqueado y barnizado o sin trabajos de superficie, de diámetro exterior superior a 114.3 mm sin exceder de 406.4 mm y espesor de pared igual o superior a 6.35 mm sin exceder de 38.1 mm.</w:t>
            </w:r>
          </w:p>
        </w:tc>
      </w:tr>
      <w:tr>
        <w:trPr>
          <w:trHeight w:val="149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5A">
            <w:pPr>
              <w:spacing w:after="100" w:lineRule="auto"/>
              <w:ind w:left="3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Fracción 7304.59.14</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5B">
            <w:pPr>
              <w:spacing w:after="100" w:lineRule="auto"/>
              <w:ind w:left="3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Tubos llamados de "conducción", sin recubrimientos distintos de los obtenidos por laqueado y barnizado o sin trabajos de superficie, de diámetro exterior superior a 114.3 mm sin exceder de 406.4 mm y espesor de pared igual o superior a 6.35 mm sin exceder de 38.1 mm.</w:t>
            </w:r>
          </w:p>
        </w:tc>
      </w:tr>
      <w:tr>
        <w:trPr>
          <w:trHeight w:val="125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5C">
            <w:pPr>
              <w:spacing w:after="100" w:lineRule="auto"/>
              <w:ind w:left="3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Fracción 7304.59.15</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5D">
            <w:pPr>
              <w:spacing w:after="100" w:lineRule="auto"/>
              <w:ind w:left="3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Tubos llamados "térmicos", sin recubrimientos distintos de los obtenidos por laqueado y barnizado o sin trabajos de superficie, de diámetro exterior superior a 406.4 mm y espesor de pared igual o superior a 9.52 mm sin exceder de 31.75 mm.</w:t>
            </w:r>
          </w:p>
        </w:tc>
      </w:tr>
    </w:tbl>
    <w:p w:rsidR="00000000" w:rsidDel="00000000" w:rsidP="00000000" w:rsidRDefault="00000000" w:rsidRPr="00000000" w14:paraId="0000005E">
      <w:pPr>
        <w:rPr>
          <w:rFonts w:ascii="Verdana" w:cs="Verdana" w:eastAsia="Verdana" w:hAnsi="Verdana"/>
          <w:sz w:val="20"/>
          <w:szCs w:val="20"/>
        </w:rPr>
      </w:pPr>
      <w:r w:rsidDel="00000000" w:rsidR="00000000" w:rsidRPr="00000000">
        <w:rPr>
          <w:rtl w:val="0"/>
        </w:rPr>
      </w:r>
    </w:p>
    <w:tbl>
      <w:tblPr>
        <w:tblStyle w:val="Table5"/>
        <w:tblW w:w="85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95"/>
        <w:gridCol w:w="5910"/>
        <w:tblGridChange w:id="0">
          <w:tblGrid>
            <w:gridCol w:w="2595"/>
            <w:gridCol w:w="5910"/>
          </w:tblGrid>
        </w:tblGridChange>
      </w:tblGrid>
      <w:tr>
        <w:trPr>
          <w:trHeight w:val="126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5F">
            <w:pPr>
              <w:spacing w:after="100" w:lineRule="auto"/>
              <w:ind w:left="3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Fracción 7304.59.16</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60">
            <w:pPr>
              <w:spacing w:after="100" w:lineRule="auto"/>
              <w:ind w:left="3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Tubos llamados de "conducción", sin recubrimientos distintos de los obtenidos por laqueado y barnizado o sin trabajos de superficie, de diámetro exterior superior a 406.4 mm y espesor de pared igual o superior a 9.52 mm sin exceder de 31.75 mm.</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61">
            <w:pPr>
              <w:spacing w:after="100" w:lineRule="auto"/>
              <w:ind w:left="3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Fracción 7304.59.91</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62">
            <w:pPr>
              <w:spacing w:after="100" w:lineRule="auto"/>
              <w:ind w:left="3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Los demás de diámetro exterior superior o igual a 38.1 mm, pero inferior o igual a 406.4 mm, con un espesor de pared superior a 12.7 mm.</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63">
            <w:pPr>
              <w:spacing w:after="100" w:lineRule="auto"/>
              <w:ind w:left="3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Fracción 7304.59.92</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64">
            <w:pPr>
              <w:spacing w:after="100" w:lineRule="auto"/>
              <w:ind w:left="3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Los demás de diámetro exterior superior o igual a 38.1 mm, pero inferior o igual a 114.3 mm, con un espesor de pared superior a 6.4 mm pero inferior o igual a 12.7 mm.</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65">
            <w:pPr>
              <w:spacing w:after="100" w:lineRule="auto"/>
              <w:ind w:left="3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Fracción 7304.59.99</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66">
            <w:pPr>
              <w:spacing w:after="100" w:lineRule="auto"/>
              <w:ind w:left="3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Los demás.</w:t>
            </w:r>
          </w:p>
        </w:tc>
      </w:tr>
    </w:tbl>
    <w:p w:rsidR="00000000" w:rsidDel="00000000" w:rsidP="00000000" w:rsidRDefault="00000000" w:rsidRPr="00000000" w14:paraId="0000006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Fuente: Sistema de Información Arancelaria Vía Internet (SIAVI)</w:t>
      </w:r>
    </w:p>
    <w:p w:rsidR="00000000" w:rsidDel="00000000" w:rsidP="00000000" w:rsidRDefault="00000000" w:rsidRPr="00000000" w14:paraId="0000006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 </w:t>
      </w:r>
      <w:r w:rsidDel="00000000" w:rsidR="00000000" w:rsidRPr="00000000">
        <w:rPr>
          <w:rFonts w:ascii="Verdana" w:cs="Verdana" w:eastAsia="Verdana" w:hAnsi="Verdana"/>
          <w:color w:val="2f2f2f"/>
          <w:sz w:val="20"/>
          <w:szCs w:val="20"/>
          <w:rtl w:val="0"/>
        </w:rPr>
        <w:t xml:space="preserve">La unidad de medida que utiliza la TIGIE es el kilogramo, aunque las operaciones comerciales se realizan normalmente en metros lineales, pieza, pies, toneladas métricas o toneladas cortas.</w:t>
      </w:r>
    </w:p>
    <w:p w:rsidR="00000000" w:rsidDel="00000000" w:rsidP="00000000" w:rsidRDefault="00000000" w:rsidRPr="00000000" w14:paraId="0000006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 </w:t>
      </w:r>
      <w:r w:rsidDel="00000000" w:rsidR="00000000" w:rsidRPr="00000000">
        <w:rPr>
          <w:rFonts w:ascii="Verdana" w:cs="Verdana" w:eastAsia="Verdana" w:hAnsi="Verdana"/>
          <w:color w:val="2f2f2f"/>
          <w:sz w:val="20"/>
          <w:szCs w:val="20"/>
          <w:rtl w:val="0"/>
        </w:rPr>
        <w:t xml:space="preserve">De acuerdo con el SIAVI, las importaciones por las fracciones arancelarias antes referidas, están exentas y sujetas a un arancel ad valorem conforma a lo siguiente:</w:t>
      </w:r>
    </w:p>
    <w:tbl>
      <w:tblPr>
        <w:tblStyle w:val="Table6"/>
        <w:tblW w:w="85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75"/>
        <w:gridCol w:w="2145"/>
        <w:tblGridChange w:id="0">
          <w:tblGrid>
            <w:gridCol w:w="6375"/>
            <w:gridCol w:w="214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6A">
            <w:pPr>
              <w:spacing w:after="100" w:lineRule="auto"/>
              <w:ind w:left="36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Fracciones arancelarias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6B">
            <w:pPr>
              <w:spacing w:after="100" w:lineRule="auto"/>
              <w:ind w:left="36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Arancel</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C">
            <w:pPr>
              <w:spacing w:after="100" w:lineRule="auto"/>
              <w:ind w:left="3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7304.11.99, 7304.59.11, 7304.59.12, 7304.59.13, 7304.59.14, 7304.59.15 7304.59.16, 7304.59.91, 7304.59.92 y 7304.59.99.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D">
            <w:pPr>
              <w:spacing w:after="100" w:lineRule="auto"/>
              <w:ind w:left="36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Exenta</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E">
            <w:pPr>
              <w:spacing w:after="100" w:lineRule="auto"/>
              <w:ind w:left="3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7304.11.01, 7304.11.02 y 7304.11.03.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F">
            <w:pPr>
              <w:spacing w:after="100" w:lineRule="auto"/>
              <w:ind w:left="36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w:t>
            </w:r>
          </w:p>
        </w:tc>
      </w:tr>
      <w:tr>
        <w:trPr>
          <w:trHeight w:val="9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0">
            <w:pPr>
              <w:spacing w:after="100" w:lineRule="auto"/>
              <w:ind w:left="3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7304.19.01, 7304.19.02, 7304.19.03, 7304.19.91, 7304.19.99, 7304.39.10, 7304.39.11, 7304.39.12, 7304.39.13, 7304.39.14, 7304.39.15, 7304.39.91, 7304.39.92 y 7304.39.99.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1">
            <w:pPr>
              <w:spacing w:after="100" w:lineRule="auto"/>
              <w:ind w:left="36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15%</w:t>
            </w:r>
          </w:p>
        </w:tc>
      </w:tr>
    </w:tbl>
    <w:p w:rsidR="00000000" w:rsidDel="00000000" w:rsidP="00000000" w:rsidRDefault="00000000" w:rsidRPr="00000000" w14:paraId="00000072">
      <w:pPr>
        <w:shd w:fill="ffffff" w:val="clear"/>
        <w:spacing w:after="100" w:before="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Fuente: SIAVI</w:t>
      </w:r>
    </w:p>
    <w:p w:rsidR="00000000" w:rsidDel="00000000" w:rsidP="00000000" w:rsidRDefault="00000000" w:rsidRPr="00000000" w14:paraId="0000007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w:t>
      </w:r>
      <w:r w:rsidDel="00000000" w:rsidR="00000000" w:rsidRPr="00000000">
        <w:rPr>
          <w:rFonts w:ascii="Verdana" w:cs="Verdana" w:eastAsia="Verdana" w:hAnsi="Verdana"/>
          <w:color w:val="2f2f2f"/>
          <w:sz w:val="20"/>
          <w:szCs w:val="20"/>
          <w:rtl w:val="0"/>
        </w:rPr>
        <w:t xml:space="preserve"> Por su parte, de conformidad con el "Acuerdo por el que se da a conocer la tasa aplicable del Impuesto General de Importación para mercancías originarias de la región conformada por México, Australia, Brunéi, Canadá, Chile, Japón, Malasia, Nueva Zelanda, Perú, Singapur y Vietnam, que corresponden a Australia, Canadá, Japón, Nueva Zelanda y Singapur", publicado en el DOF el 30 de noviembre de 2018, las importaciones originarias de Australia, Canadá, Japón, Nueva Zelanda y Singapur que ingresan por las fracciones arancelarias 7304.11.01, 7304.11.02 y 7304.11.03 estarán sujetas a arancel preferencial para cada año y estarán libres de arancel a partir del 1 de enero de 2022.</w:t>
      </w:r>
    </w:p>
    <w:p w:rsidR="00000000" w:rsidDel="00000000" w:rsidP="00000000" w:rsidRDefault="00000000" w:rsidRPr="00000000" w14:paraId="0000007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w:t>
      </w:r>
      <w:r w:rsidDel="00000000" w:rsidR="00000000" w:rsidRPr="00000000">
        <w:rPr>
          <w:rFonts w:ascii="Verdana" w:cs="Verdana" w:eastAsia="Verdana" w:hAnsi="Verdana"/>
          <w:color w:val="2f2f2f"/>
          <w:sz w:val="20"/>
          <w:szCs w:val="20"/>
          <w:rtl w:val="0"/>
        </w:rPr>
        <w:t xml:space="preserve"> De acuerdo con el SIAVI y el "Decreto por el que se modifica la Tarifa de la Ley de los Impuestos Generales de Importación y de Exportación, el Decreto por el que se establece el impuesto general de importación para la región fronteriza y la franja fronteriza norte, el Decreto por el que se establecen diversos Programas de Promoción Sectorial y el Decreto para el Fomento de la Industria Manufacturera, Maquiladora y de Servicios de Exportación" publicado en el DOF el 20 de septiembre de 2019, se suprimieron las fracciones arancelarias 7304.39.05, 7304.39.06, 7304.39.07, 7304.59.06, 7304.59.07 y 7304.59.08, y se crearon las fracciones arancelarias 7304.19.91, 7304.39.10, 7304.39.11, 7304.39.12, 7304.39.13, 7304.39.14, 7304.39.15, 7304.39.91, 7304.39.92, 7304.59.11, 7304.59.12, 7304.59.13, 7304.59.14, 7304.59.15, 7304.59.16, 7304.59.91 y 7304.59.92 de la TIGIE.</w:t>
      </w:r>
    </w:p>
    <w:p w:rsidR="00000000" w:rsidDel="00000000" w:rsidP="00000000" w:rsidRDefault="00000000" w:rsidRPr="00000000" w14:paraId="0000007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3. Proceso productivo</w:t>
      </w:r>
    </w:p>
    <w:p w:rsidR="00000000" w:rsidDel="00000000" w:rsidP="00000000" w:rsidRDefault="00000000" w:rsidRPr="00000000" w14:paraId="0000007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w:t>
      </w:r>
      <w:r w:rsidDel="00000000" w:rsidR="00000000" w:rsidRPr="00000000">
        <w:rPr>
          <w:rFonts w:ascii="Verdana" w:cs="Verdana" w:eastAsia="Verdana" w:hAnsi="Verdana"/>
          <w:color w:val="2f2f2f"/>
          <w:sz w:val="20"/>
          <w:szCs w:val="20"/>
          <w:rtl w:val="0"/>
        </w:rPr>
        <w:t xml:space="preserve"> El proceso productivo inicia con la obtención del acero líquido, el cual se obtiene en las plantas integradas en altos hornos (blast furnaces) u hornos denominados BOF (por las siglas en inglés de basic oxigen furnace) a partir de mineral de hierro, chatarra, fierro esponja, carbón mineral y oxígeno. En plantas de tipo mini-mill, el acero líquido se obtiene en hornos de arco eléctrico EAF (por las siglas en inglés de electric arc furnace) que utilizan fundamentalmente chatarra, briquetas, arrabio, energía eléctrica, electrodos y oxígeno.</w:t>
      </w:r>
    </w:p>
    <w:p w:rsidR="00000000" w:rsidDel="00000000" w:rsidP="00000000" w:rsidRDefault="00000000" w:rsidRPr="00000000" w14:paraId="0000007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w:t>
      </w:r>
      <w:r w:rsidDel="00000000" w:rsidR="00000000" w:rsidRPr="00000000">
        <w:rPr>
          <w:rFonts w:ascii="Verdana" w:cs="Verdana" w:eastAsia="Verdana" w:hAnsi="Verdana"/>
          <w:color w:val="2f2f2f"/>
          <w:sz w:val="20"/>
          <w:szCs w:val="20"/>
          <w:rtl w:val="0"/>
        </w:rPr>
        <w:t xml:space="preserve"> El acero líquido que se obtiene por cualquiera de estos procesos pasa por una máquina de colada continua donde se obtienen barras o lingotes de acero, insumo para la fabricación de la tubería sin costura. Otros insumos son refractarios, energía eléctrica, gas natural, equipos de laminación, protectores de bisel, pinturas y barnices.</w:t>
      </w:r>
    </w:p>
    <w:p w:rsidR="00000000" w:rsidDel="00000000" w:rsidP="00000000" w:rsidRDefault="00000000" w:rsidRPr="00000000" w14:paraId="0000007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7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 </w:t>
      </w:r>
      <w:r w:rsidDel="00000000" w:rsidR="00000000" w:rsidRPr="00000000">
        <w:rPr>
          <w:rFonts w:ascii="Verdana" w:cs="Verdana" w:eastAsia="Verdana" w:hAnsi="Verdana"/>
          <w:color w:val="2f2f2f"/>
          <w:sz w:val="20"/>
          <w:szCs w:val="20"/>
          <w:rtl w:val="0"/>
        </w:rPr>
        <w:t xml:space="preserve">Después de la obtención de barras o lingotes de acero, el proceso para fabricar la tubería sin costura es básicamente el mismo en el mundo. Las barras se precalientan en un horno giratorio y se pasan por el laminador "a mandril retenido", en donde se perforan y ajustan al diámetro y espesor requeridos. A continuación, la tubería se corta en la longitud requerida y se somete a inspección para detectar posibles defectos. Posteriormente, para mejorar las propiedades químicas del acero, los tubos se someten a un proceso de tratamiento térmico. Conforme las normas lo requieran, se les pueden o no realizar pruebas hidrostáticas. Finalmente, se coloca grasa y protectores en los extremos de la tubería para evitar corrosión y daños en el producto.</w:t>
      </w:r>
    </w:p>
    <w:p w:rsidR="00000000" w:rsidDel="00000000" w:rsidP="00000000" w:rsidRDefault="00000000" w:rsidRPr="00000000" w14:paraId="0000007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4. Normas</w:t>
      </w:r>
    </w:p>
    <w:p w:rsidR="00000000" w:rsidDel="00000000" w:rsidP="00000000" w:rsidRDefault="00000000" w:rsidRPr="00000000" w14:paraId="0000007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15. </w:t>
      </w:r>
      <w:r w:rsidDel="00000000" w:rsidR="00000000" w:rsidRPr="00000000">
        <w:rPr>
          <w:rFonts w:ascii="Verdana" w:cs="Verdana" w:eastAsia="Verdana" w:hAnsi="Verdana"/>
          <w:color w:val="2f2f2f"/>
          <w:sz w:val="20"/>
          <w:szCs w:val="20"/>
          <w:rtl w:val="0"/>
        </w:rPr>
        <w:t xml:space="preserve">Las normas técnicas aplicables al producto objeto de examen son las siguientes: del Instituto Americano del Petróleo (API, por sus siglas en inglés de American Petroleum Institute) la 5L, de la Sociedad Americana para Pruebas y Materiales (ASTM, por las siglas en inglés de American Society for Testing Materials), la A106, A53, A333, A520, A179, A335, A312, A210, A213, A252-90 y A334, y del Instituto Alemán de Normalización (DIN, por las siglas en alemán de Deutsches Institut für Normung), la 1629, 2448, 17175, 2448, 2391 y 17172.</w:t>
      </w:r>
    </w:p>
    <w:p w:rsidR="00000000" w:rsidDel="00000000" w:rsidP="00000000" w:rsidRDefault="00000000" w:rsidRPr="00000000" w14:paraId="0000007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5. Usos y funciones</w:t>
      </w:r>
    </w:p>
    <w:p w:rsidR="00000000" w:rsidDel="00000000" w:rsidP="00000000" w:rsidRDefault="00000000" w:rsidRPr="00000000" w14:paraId="0000007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16. </w:t>
      </w:r>
      <w:r w:rsidDel="00000000" w:rsidR="00000000" w:rsidRPr="00000000">
        <w:rPr>
          <w:rFonts w:ascii="Verdana" w:cs="Verdana" w:eastAsia="Verdana" w:hAnsi="Verdana"/>
          <w:color w:val="2f2f2f"/>
          <w:sz w:val="20"/>
          <w:szCs w:val="20"/>
          <w:rtl w:val="0"/>
        </w:rPr>
        <w:t xml:space="preserve">La función principal del producto objeto de examen es la conducción de fluidos, por ejemplo, agua, vapor, gas natural, aire y gases en sistemas de plomería y calefacción, unidades de aire acondicionado, sistemas de irrigación automáticos y otros usos relacionados (tubería de conducción), así como productos petroquímicos, químicos y otros líquidos (tubería de línea y tubería de presión).</w:t>
      </w:r>
    </w:p>
    <w:p w:rsidR="00000000" w:rsidDel="00000000" w:rsidP="00000000" w:rsidRDefault="00000000" w:rsidRPr="00000000" w14:paraId="0000007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F. Posibles partes interesadas</w:t>
      </w:r>
    </w:p>
    <w:p w:rsidR="00000000" w:rsidDel="00000000" w:rsidP="00000000" w:rsidRDefault="00000000" w:rsidRPr="00000000" w14:paraId="0000007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17. </w:t>
      </w:r>
      <w:r w:rsidDel="00000000" w:rsidR="00000000" w:rsidRPr="00000000">
        <w:rPr>
          <w:rFonts w:ascii="Verdana" w:cs="Verdana" w:eastAsia="Verdana" w:hAnsi="Verdana"/>
          <w:color w:val="2f2f2f"/>
          <w:sz w:val="20"/>
          <w:szCs w:val="20"/>
          <w:rtl w:val="0"/>
        </w:rPr>
        <w:t xml:space="preserve">Las partes de que la Secretaría tiene conocimiento y que podrían tener interés en comparecer al presente procedimiento, son las siguientes:</w:t>
      </w:r>
    </w:p>
    <w:p w:rsidR="00000000" w:rsidDel="00000000" w:rsidP="00000000" w:rsidRDefault="00000000" w:rsidRPr="00000000" w14:paraId="0000008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 Productora nacional</w:t>
      </w:r>
    </w:p>
    <w:p w:rsidR="00000000" w:rsidDel="00000000" w:rsidP="00000000" w:rsidRDefault="00000000" w:rsidRPr="00000000" w14:paraId="00000081">
      <w:pPr>
        <w:shd w:fill="ffffff" w:val="clear"/>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Tubos de Acero de México, S.A.</w:t>
      </w:r>
    </w:p>
    <w:p w:rsidR="00000000" w:rsidDel="00000000" w:rsidP="00000000" w:rsidRDefault="00000000" w:rsidRPr="00000000" w14:paraId="00000082">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Insurgentes Sur No. 1824, piso 9</w:t>
      </w:r>
    </w:p>
    <w:p w:rsidR="00000000" w:rsidDel="00000000" w:rsidP="00000000" w:rsidRDefault="00000000" w:rsidRPr="00000000" w14:paraId="00000083">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Florida</w:t>
      </w:r>
    </w:p>
    <w:p w:rsidR="00000000" w:rsidDel="00000000" w:rsidP="00000000" w:rsidRDefault="00000000" w:rsidRPr="00000000" w14:paraId="0000008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01030, Ciudad de México</w:t>
      </w:r>
    </w:p>
    <w:p w:rsidR="00000000" w:rsidDel="00000000" w:rsidP="00000000" w:rsidRDefault="00000000" w:rsidRPr="00000000" w14:paraId="0000008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 Gobierno</w:t>
      </w:r>
    </w:p>
    <w:p w:rsidR="00000000" w:rsidDel="00000000" w:rsidP="00000000" w:rsidRDefault="00000000" w:rsidRPr="00000000" w14:paraId="00000086">
      <w:pPr>
        <w:shd w:fill="ffffff" w:val="clear"/>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Embajada de Japón en México</w:t>
      </w:r>
    </w:p>
    <w:p w:rsidR="00000000" w:rsidDel="00000000" w:rsidP="00000000" w:rsidRDefault="00000000" w:rsidRPr="00000000" w14:paraId="00000087">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Paseo de la Reforma No. 243, Torre Mapfre, piso 9</w:t>
      </w:r>
    </w:p>
    <w:p w:rsidR="00000000" w:rsidDel="00000000" w:rsidP="00000000" w:rsidRDefault="00000000" w:rsidRPr="00000000" w14:paraId="00000088">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Cuauhtémoc</w:t>
      </w:r>
    </w:p>
    <w:p w:rsidR="00000000" w:rsidDel="00000000" w:rsidP="00000000" w:rsidRDefault="00000000" w:rsidRPr="00000000" w14:paraId="0000008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06500, Ciudad de México</w:t>
      </w:r>
    </w:p>
    <w:p w:rsidR="00000000" w:rsidDel="00000000" w:rsidP="00000000" w:rsidRDefault="00000000" w:rsidRPr="00000000" w14:paraId="0000008A">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CONSIDERANDOS</w:t>
      </w:r>
    </w:p>
    <w:p w:rsidR="00000000" w:rsidDel="00000000" w:rsidP="00000000" w:rsidRDefault="00000000" w:rsidRPr="00000000" w14:paraId="0000008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 Competencia</w:t>
      </w:r>
    </w:p>
    <w:p w:rsidR="00000000" w:rsidDel="00000000" w:rsidP="00000000" w:rsidRDefault="00000000" w:rsidRPr="00000000" w14:paraId="0000008C">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18.</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La Secretaría es competente para emitir la presente Resolución, conforme a los artículos 16 y 34 fracciones V y XXXIII de la Ley Orgánica de la Administración Pública Federal; 1, 2 apartado A fracción II numeral 7 y 19 fracciones I y IV del Reglamento Interior de la Secretaría de Economía; 11.3, 12.1 y 12.3 del Acuerdo relativo a la Aplicación del Artículo VI del Acuerdo General sobre Aranceles Aduaneros y Comercio de 1994 (el "Acuerdo Antidumping"); 5 fracción VII, 70 fracción II, 70 B y 89 F de la Ley de Comercio Exterior (LCE), y 80 y 81 del Reglamento de la Ley de Comercio Exterior (RLCE).</w:t>
      </w:r>
    </w:p>
    <w:p w:rsidR="00000000" w:rsidDel="00000000" w:rsidP="00000000" w:rsidRDefault="00000000" w:rsidRPr="00000000" w14:paraId="0000008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 Legislación aplicable</w:t>
      </w:r>
    </w:p>
    <w:p w:rsidR="00000000" w:rsidDel="00000000" w:rsidP="00000000" w:rsidRDefault="00000000" w:rsidRPr="00000000" w14:paraId="0000008E">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19.</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Para efectos de este procedimiento son aplicables el Acuerdo Antidumping, la LCE, el RLCE, el Código Fiscal de la Federación, la Ley Federal de Procedimiento Contencioso Administrativo, aplicada supletoriamente, de conformidad con el artículo Segundo Transitorio del Decreto por el que se expide dicha Ley, así como el Código Federal de Procedimientos Civiles, estos tres últimos de aplicación supletoria.</w:t>
      </w:r>
    </w:p>
    <w:p w:rsidR="00000000" w:rsidDel="00000000" w:rsidP="00000000" w:rsidRDefault="00000000" w:rsidRPr="00000000" w14:paraId="0000008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 Protección de la información confidencial</w:t>
      </w:r>
    </w:p>
    <w:p w:rsidR="00000000" w:rsidDel="00000000" w:rsidP="00000000" w:rsidRDefault="00000000" w:rsidRPr="00000000" w14:paraId="00000090">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20.</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La Secretaría no puede revelar públicamente la información confidencial que las partes interesadas le presenten, ni la información confidencial de que ella misma se allegue, de conformidad con los artículos 6.5 del Acuerdo Antidumping, 80 de la LCE y 152 y 158 del RLCE. No obstante, las partes interesadas podrán obtener el acceso a la información confidencial, siempre y cuando satisfagan los requisitos establecidos en los</w:t>
      </w:r>
    </w:p>
    <w:p w:rsidR="00000000" w:rsidDel="00000000" w:rsidP="00000000" w:rsidRDefault="00000000" w:rsidRPr="00000000" w14:paraId="00000091">
      <w:pPr>
        <w:shd w:fill="ffffff" w:val="clea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artículos 159 y 160 del RLCE.</w:t>
      </w:r>
    </w:p>
    <w:p w:rsidR="00000000" w:rsidDel="00000000" w:rsidP="00000000" w:rsidRDefault="00000000" w:rsidRPr="00000000" w14:paraId="0000009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 Legitimación para el inicio del examen de vigencia de cuota</w:t>
      </w:r>
    </w:p>
    <w:p w:rsidR="00000000" w:rsidDel="00000000" w:rsidP="00000000" w:rsidRDefault="00000000" w:rsidRPr="00000000" w14:paraId="00000093">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21. </w:t>
      </w:r>
      <w:r w:rsidDel="00000000" w:rsidR="00000000" w:rsidRPr="00000000">
        <w:rPr>
          <w:rFonts w:ascii="Verdana" w:cs="Verdana" w:eastAsia="Verdana" w:hAnsi="Verdana"/>
          <w:sz w:val="20"/>
          <w:szCs w:val="20"/>
          <w:rtl w:val="0"/>
        </w:rPr>
        <w:t xml:space="preserve">Conforme a los artículos 11.3 del Acuerdo Antidumping, 70 fracción II y 70 B de la LCE, las cuotas compensatorias definitivas se eliminarán en un plazo de cinco años contados a partir de su entrada en vigor, a menos que la Secretaría haya iniciado, antes de concluir dicho plazo, un examen de vigencia derivado de la manifestación de interés de uno o más productores nacionales.</w:t>
      </w:r>
    </w:p>
    <w:p w:rsidR="00000000" w:rsidDel="00000000" w:rsidP="00000000" w:rsidRDefault="00000000" w:rsidRPr="00000000" w14:paraId="00000094">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22.</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En el presente caso, TAMSA en su calidad de productor nacional del producto objeto de examen, manifestó en tiempo y forma su interés en que se inicie el examen de vigencia de la cuota compensatoria definitiva impuesta a las importaciones de tubería de acero sin costura originarias de Japón, por lo que se actualizan los supuestos previstos en la legislación de la materia y, en consecuencia, procede iniciarlo.</w:t>
      </w:r>
    </w:p>
    <w:p w:rsidR="00000000" w:rsidDel="00000000" w:rsidP="00000000" w:rsidRDefault="00000000" w:rsidRPr="00000000" w14:paraId="0000009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 Periodo de examen y de análisis</w:t>
      </w:r>
    </w:p>
    <w:p w:rsidR="00000000" w:rsidDel="00000000" w:rsidP="00000000" w:rsidRDefault="00000000" w:rsidRPr="00000000" w14:paraId="00000096">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23. </w:t>
      </w:r>
      <w:r w:rsidDel="00000000" w:rsidR="00000000" w:rsidRPr="00000000">
        <w:rPr>
          <w:rFonts w:ascii="Verdana" w:cs="Verdana" w:eastAsia="Verdana" w:hAnsi="Verdana"/>
          <w:sz w:val="20"/>
          <w:szCs w:val="20"/>
          <w:rtl w:val="0"/>
        </w:rPr>
        <w:t xml:space="preserve">La Secretaría determina fijar como periodo de examen el propuesto por TAMSA, comprendido del 1 de julio de 2019 al 30 de junio de 2020 y como periodo de análisis el comprendido del 1 de julio de 2015 al 30 de junio de 2020, toda vez que éstos se apegan a lo previsto en el artículo 76 del RLCE y a la recomendación del Comité de Prácticas Antidumping de la Organización Mundial del Comercio (documento G/ADP/6 adoptado el 5 de mayo de 2000).</w:t>
      </w:r>
    </w:p>
    <w:p w:rsidR="00000000" w:rsidDel="00000000" w:rsidP="00000000" w:rsidRDefault="00000000" w:rsidRPr="00000000" w14:paraId="00000097">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24. </w:t>
      </w:r>
      <w:r w:rsidDel="00000000" w:rsidR="00000000" w:rsidRPr="00000000">
        <w:rPr>
          <w:rFonts w:ascii="Verdana" w:cs="Verdana" w:eastAsia="Verdana" w:hAnsi="Verdana"/>
          <w:sz w:val="20"/>
          <w:szCs w:val="20"/>
          <w:rtl w:val="0"/>
        </w:rPr>
        <w:t xml:space="preserve">Por lo expuesto, con fundamento en los artículos 11.1 y 11.3 del Acuerdo Antidumping, y 67, 70 fracción II, 70 B y 89 F de la LCE, se emite la siguiente</w:t>
      </w:r>
    </w:p>
    <w:p w:rsidR="00000000" w:rsidDel="00000000" w:rsidP="00000000" w:rsidRDefault="00000000" w:rsidRPr="00000000" w14:paraId="00000098">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RESOLUCIÓN</w:t>
      </w:r>
    </w:p>
    <w:p w:rsidR="00000000" w:rsidDel="00000000" w:rsidP="00000000" w:rsidRDefault="00000000" w:rsidRPr="00000000" w14:paraId="00000099">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25. </w:t>
      </w:r>
      <w:r w:rsidDel="00000000" w:rsidR="00000000" w:rsidRPr="00000000">
        <w:rPr>
          <w:rFonts w:ascii="Verdana" w:cs="Verdana" w:eastAsia="Verdana" w:hAnsi="Verdana"/>
          <w:sz w:val="20"/>
          <w:szCs w:val="20"/>
          <w:rtl w:val="0"/>
        </w:rPr>
        <w:t xml:space="preserve">Se declara el inicio del procedimiento administrativo de examen de vigencia de la cuota compensatoria definitiva impuesta a las importaciones de tubería de acero sin costura originarias de Japón, independientemente del país de procedencia, que ingresan a través de las fracciones arancelarias </w:t>
      </w:r>
      <w:r w:rsidDel="00000000" w:rsidR="00000000" w:rsidRPr="00000000">
        <w:rPr>
          <w:rFonts w:ascii="Verdana" w:cs="Verdana" w:eastAsia="Verdana" w:hAnsi="Verdana"/>
          <w:color w:val="2f2f2f"/>
          <w:sz w:val="20"/>
          <w:szCs w:val="20"/>
          <w:rtl w:val="0"/>
        </w:rPr>
        <w:t xml:space="preserve">7304.11.01, 7304.11.02, 7304.11.03, 7304.11.99, 7304.19.01, 7304.19.02, 7304.19.03, 7304.19.91, 7304.19.99, 7304.39.10, 7304.39.11, 7304.39.12, 7304.39.13, 7304.39.14, 7304.39.15, 7304.39.91, 7304.39.92, 7304.39.99, 7304.59.11, 7304.59.12, 7304.59.13, 7304.59.14, 7304.59.15, 7304.59.16, 7304.59.91, 7304.59.92 y 7304.59.99</w:t>
      </w:r>
      <w:r w:rsidDel="00000000" w:rsidR="00000000" w:rsidRPr="00000000">
        <w:rPr>
          <w:rFonts w:ascii="Verdana" w:cs="Verdana" w:eastAsia="Verdana" w:hAnsi="Verdana"/>
          <w:sz w:val="20"/>
          <w:szCs w:val="20"/>
          <w:rtl w:val="0"/>
        </w:rPr>
        <w:t xml:space="preserve"> de la TIGIE, o por cualquier otra.</w:t>
      </w:r>
    </w:p>
    <w:p w:rsidR="00000000" w:rsidDel="00000000" w:rsidP="00000000" w:rsidRDefault="00000000" w:rsidRPr="00000000" w14:paraId="0000009A">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26. </w:t>
      </w:r>
      <w:r w:rsidDel="00000000" w:rsidR="00000000" w:rsidRPr="00000000">
        <w:rPr>
          <w:rFonts w:ascii="Verdana" w:cs="Verdana" w:eastAsia="Verdana" w:hAnsi="Verdana"/>
          <w:sz w:val="20"/>
          <w:szCs w:val="20"/>
          <w:rtl w:val="0"/>
        </w:rPr>
        <w:t xml:space="preserve">Se fija como periodo de examen el comprendido del 1 de julio de 2019 al 30 de junio de 2020 y como periodo de análisis del 1 de julio de 2015 al 30 de junio de 2020.</w:t>
      </w:r>
    </w:p>
    <w:p w:rsidR="00000000" w:rsidDel="00000000" w:rsidP="00000000" w:rsidRDefault="00000000" w:rsidRPr="00000000" w14:paraId="0000009B">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27. </w:t>
      </w:r>
      <w:r w:rsidDel="00000000" w:rsidR="00000000" w:rsidRPr="00000000">
        <w:rPr>
          <w:rFonts w:ascii="Verdana" w:cs="Verdana" w:eastAsia="Verdana" w:hAnsi="Verdana"/>
          <w:sz w:val="20"/>
          <w:szCs w:val="20"/>
          <w:rtl w:val="0"/>
        </w:rPr>
        <w:t xml:space="preserve">Conforme a lo establecido en los artículos 11.3 del Acuerdo Antidumping, 70 fracción II y 89 F de la LCE y 94 del RLCE, la cuota compensatoria definitiva a que se refiere el punto 1 de la presente Resolución, continuará vigente mientras se tramita el presente procedimiento de examen de vigencia.</w:t>
      </w:r>
    </w:p>
    <w:p w:rsidR="00000000" w:rsidDel="00000000" w:rsidP="00000000" w:rsidRDefault="00000000" w:rsidRPr="00000000" w14:paraId="0000009C">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28. </w:t>
      </w:r>
      <w:r w:rsidDel="00000000" w:rsidR="00000000" w:rsidRPr="00000000">
        <w:rPr>
          <w:rFonts w:ascii="Verdana" w:cs="Verdana" w:eastAsia="Verdana" w:hAnsi="Verdana"/>
          <w:sz w:val="20"/>
          <w:szCs w:val="20"/>
          <w:rtl w:val="0"/>
        </w:rPr>
        <w:t xml:space="preserve">De conformidad con los artículos 6.1 y 11.4 del Acuerdo Antidumping y 3 último párrafo y 89 F de la LCE, los productores nacionales, importadores, exportadores, personas morales extranjeras o cualquier persona que acredite tener interés jurídico en el resultado de este procedimiento de examen, contarán con un plazo de veintiocho días hábiles para acreditar su interés jurídico y presentar la respuesta al formulario oficial establecido para tal efecto, y los argumentos y las pruebas que consideren convenientes. El plazo de veintiocho días hábiles se contará a partir del día siguiente de la publicación en el DOF de la presente Resolución y concluirá a las 18:00 horas del día de su vencimiento. La presentación de la información se hará conforme a lo dispuesto en el "Acuerdo por el que se establecen medidas administrativas en la Secretaría de Economía, con motivo de la emergencia sanitaria generada por el coronavirus COVID-19", publicado en el DOF el 29 de junio de 2020.</w:t>
      </w:r>
    </w:p>
    <w:p w:rsidR="00000000" w:rsidDel="00000000" w:rsidP="00000000" w:rsidRDefault="00000000" w:rsidRPr="00000000" w14:paraId="0000009D">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29. </w:t>
      </w:r>
      <w:r w:rsidDel="00000000" w:rsidR="00000000" w:rsidRPr="00000000">
        <w:rPr>
          <w:rFonts w:ascii="Verdana" w:cs="Verdana" w:eastAsia="Verdana" w:hAnsi="Verdana"/>
          <w:sz w:val="20"/>
          <w:szCs w:val="20"/>
          <w:rtl w:val="0"/>
        </w:rPr>
        <w:t xml:space="preserve">El formulario oficial a que se refiere el punto anterior, se podrá obtener a través de la página de Internet https://www.gob.mx/se/acciones-y-programas/industria-y-comercio-unidad-de-practicas-comerciales-internacionales-upci, asimismo, se podrá solicitar a través de la cuenta de correo electrónico upci@economia.gob.mx.</w:t>
      </w:r>
    </w:p>
    <w:p w:rsidR="00000000" w:rsidDel="00000000" w:rsidP="00000000" w:rsidRDefault="00000000" w:rsidRPr="00000000" w14:paraId="0000009E">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30. </w:t>
      </w:r>
      <w:r w:rsidDel="00000000" w:rsidR="00000000" w:rsidRPr="00000000">
        <w:rPr>
          <w:rFonts w:ascii="Verdana" w:cs="Verdana" w:eastAsia="Verdana" w:hAnsi="Verdana"/>
          <w:sz w:val="20"/>
          <w:szCs w:val="20"/>
          <w:rtl w:val="0"/>
        </w:rPr>
        <w:t xml:space="preserve">Notifíquese la presente Resolución a las partes interesadas de que se tenga conocimiento.</w:t>
      </w:r>
    </w:p>
    <w:p w:rsidR="00000000" w:rsidDel="00000000" w:rsidP="00000000" w:rsidRDefault="00000000" w:rsidRPr="00000000" w14:paraId="0000009F">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31. </w:t>
      </w:r>
      <w:r w:rsidDel="00000000" w:rsidR="00000000" w:rsidRPr="00000000">
        <w:rPr>
          <w:rFonts w:ascii="Verdana" w:cs="Verdana" w:eastAsia="Verdana" w:hAnsi="Verdana"/>
          <w:sz w:val="20"/>
          <w:szCs w:val="20"/>
          <w:rtl w:val="0"/>
        </w:rPr>
        <w:t xml:space="preserve">Comuníquese esta Resolución al Servicio de Administración Tributaria, para los efectos legales correspondientes.</w:t>
      </w:r>
    </w:p>
    <w:p w:rsidR="00000000" w:rsidDel="00000000" w:rsidP="00000000" w:rsidRDefault="00000000" w:rsidRPr="00000000" w14:paraId="000000A0">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32. </w:t>
      </w:r>
      <w:r w:rsidDel="00000000" w:rsidR="00000000" w:rsidRPr="00000000">
        <w:rPr>
          <w:rFonts w:ascii="Verdana" w:cs="Verdana" w:eastAsia="Verdana" w:hAnsi="Verdana"/>
          <w:sz w:val="20"/>
          <w:szCs w:val="20"/>
          <w:rtl w:val="0"/>
        </w:rPr>
        <w:t xml:space="preserve">La presente Resolución entrará en vigor al día siguiente de su publicación en el DOF.</w:t>
      </w:r>
    </w:p>
    <w:p w:rsidR="00000000" w:rsidDel="00000000" w:rsidP="00000000" w:rsidRDefault="00000000" w:rsidRPr="00000000" w14:paraId="000000A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A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26 de octubre de 2020.- La Secretaria de Economía, </w:t>
      </w:r>
      <w:r w:rsidDel="00000000" w:rsidR="00000000" w:rsidRPr="00000000">
        <w:rPr>
          <w:rFonts w:ascii="Verdana" w:cs="Verdana" w:eastAsia="Verdana" w:hAnsi="Verdana"/>
          <w:b w:val="1"/>
          <w:color w:val="2f2f2f"/>
          <w:sz w:val="20"/>
          <w:szCs w:val="20"/>
          <w:rtl w:val="0"/>
        </w:rPr>
        <w:t xml:space="preserve">Graciela Márquez Colín</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A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