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mayo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fracciones II y XIV, 135, 141, 147 y 184 de la Ley General de Salud; Segundo, fracción V y Tercero del Decreto por el que se declaran acciones extraordinarias en las regiones afectadas de todo el territorio nacional en materia de salubridad general para combatir la enfermedad grave de atención prioritaria generada por el virus SARS-CoV2 (COVID-19), y</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fecha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lo anterior, en atención a la emergencia sanitaria por la enfermedad causada por el virus SARS-CoV2 (COVID-19) en nuestro país;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sin perjuicio de que dicho Acuerdo ya establece una estrategia para la reapertura de las actividades sociales, educativas y económicas, se requiere que exista mayor precisión en las etapas, términos y procedimientos que deberán implementarse a efecto de que el retorno de la sociedad a sus actividades generales se dé en un entorno confiable que reduzca, en la mayor medida posible, los riesgos causados por la epidemia de COVID-19, y de esta manera se continúe con el abatimiento de la misma, para dar paso a la pronta recuperación económica, y</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atención a lo anterior, resulta necesario establecer un mecanismo que involucre a los sectores público, social y privado para retomar las actividades bajo protocolos de seguridad sanitaria, que garanticen tanto a sus trabajadores, como al público en general que se está cumpliendo con estándares que reducen los riesgos asociados al COVID-19, por lo que he tenido a bien expedir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ARTICULO UNICO.- </w:t>
      </w:r>
      <w:r w:rsidDel="00000000" w:rsidR="00000000" w:rsidRPr="00000000">
        <w:rPr>
          <w:rFonts w:ascii="Verdana" w:cs="Verdana" w:eastAsia="Verdana" w:hAnsi="Verdana"/>
          <w:color w:val="2f2f2f"/>
          <w:sz w:val="20"/>
          <w:szCs w:val="20"/>
          <w:rtl w:val="0"/>
        </w:rPr>
        <w:t xml:space="preserve">Se modifican los numerales Segundo, fracción ii) y Cuarto del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en el Diario Oficial de la Federación el 14 de mayo de 2020, para quedar como sigue: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"ARTICULO SEGUNDO.- </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Etapa 2.-</w:t>
      </w:r>
      <w:r w:rsidDel="00000000" w:rsidR="00000000" w:rsidRPr="00000000">
        <w:rPr>
          <w:rFonts w:ascii="Verdana" w:cs="Verdana" w:eastAsia="Verdana" w:hAnsi="Verdana"/>
          <w:color w:val="2f2f2f"/>
          <w:sz w:val="20"/>
          <w:szCs w:val="20"/>
          <w:rtl w:val="0"/>
        </w:rPr>
        <w:t xml:space="preserve"> Abarca del 18 al 31 de mayo del 2020, y consiste 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 determine la Secretaría de Salud, y</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"ARTICULO CUARTO.- </w:t>
      </w:r>
      <w:r w:rsidDel="00000000" w:rsidR="00000000" w:rsidRPr="00000000">
        <w:rPr>
          <w:rFonts w:ascii="Verdana" w:cs="Verdana" w:eastAsia="Verdana" w:hAnsi="Verdana"/>
          <w:color w:val="2f2f2f"/>
          <w:sz w:val="20"/>
          <w:szCs w:val="20"/>
          <w:rtl w:val="0"/>
        </w:rPr>
        <w:t xml:space="preserve">Se establece como acción extraordinaria que las actividades de la industria de la construcción, la minería y la referente a la fabricación de equipo de transporte, serán consideradas como actividades esenciales.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que se dediquen a las actividades a que se refiere el párrafo anterior, podrán iniciar labores el 1 de junio de 2020, para lo cual deberán observar lo siguiente:</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El periodo de preparación inicia el 18 de mayo de 2020.</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Para efectos de lo anterior, las empresas o industrias dedicadas a las actividades consideradas como esenciales, deberán presentar protocolos de seguridad sanitaria acordes con los lineamientos generales que dispongan las secretarías de Salud, de Economía y del Trabajo y Previsión Social;</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presentación, aplicación y aprobación de los protocolos, a los que se refiere la fracción anterior podrá darse al mismo tiempo que se lleven a cabo las medidas de preparación para la entrada en operación de las empresas;</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El plazo comprendido del 18 de mayo al 1 de junio de 2020, es el tiempo en el que se llevará a cabo el proceso de establecer los protocolos y mecanismos de seguridad sanitaria en las empresas de acuerdo con los lineamientos de seguridad sanitaria en el entorno laboral, que publique la Secretaría de Salud, en coordinación con las secretarías de Economía y del Trabajo y Previsión Social, así como con el Instituto Mexicano del Seguro Social;</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Si el proceso se logra concluir y se aprueba antes del 1 de junio de 2020, la empresa o industria correspondiente podrá dar inicio a sus operaciones, y</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Se aclara que se trata de un acuerdo de buena voluntad; sin embargo, si no se cumple se procederá a la clausura de las empresas o industrias que pongan en riesgo la salud de sus trabajadores.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las empresas de la industria automotriz y de autopartes dedicadas a la exportación, además de lo señalado en las facciones anteriores, deberán aplicar los protocolos que se requieran en los países de su origen."</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UNICO.-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 y estará vigente hasta en tanto se declare terminada la emergencia sanitaria que la originó.</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15 de mayo de 2020.-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