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Decreto por el que se reforman los artículos 23 y 24 de la Ley de Inversión Extranjera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(DOF del 27 de mayo de 2024)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Presidencia de la República.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ind w:firstLine="280"/>
        <w:jc w:val="both"/>
        <w:rPr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ANDRÉS MANUEL LÓPEZ OBRADOR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, Presidente de los Estados Unidos Mexicanos, a sus habitantes sabed: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ind w:firstLine="280"/>
        <w:jc w:val="both"/>
        <w:rPr>
          <w:color w:val="2f2f2f"/>
          <w:sz w:val="20"/>
          <w:szCs w:val="20"/>
        </w:rPr>
      </w:pPr>
      <w:r w:rsidDel="00000000" w:rsidR="00000000" w:rsidRPr="00000000">
        <w:rPr>
          <w:color w:val="2f2f2f"/>
          <w:sz w:val="20"/>
          <w:szCs w:val="20"/>
          <w:rtl w:val="0"/>
        </w:rPr>
        <w:t xml:space="preserve">Que el Honorable Congreso de la Unión, se ha servido dirigirme el siguiente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Rule="auto"/>
        <w:jc w:val="center"/>
        <w:rPr>
          <w:b w:val="1"/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DECRETO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ind w:firstLine="280"/>
        <w:jc w:val="both"/>
        <w:rPr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"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EL CONGRESO GENERAL DE LOS ESTADOS UNIDOS MEXICANOS, DECRETA: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ind w:firstLine="280"/>
        <w:jc w:val="both"/>
        <w:rPr>
          <w:b w:val="1"/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SE REFORMAN LOS ARTÍCULOS 23 Y 24 DE LA LEY DE INVERSIÓN EXTRANJERA.</w:t>
      </w:r>
    </w:p>
    <w:p w:rsidR="00000000" w:rsidDel="00000000" w:rsidP="00000000" w:rsidRDefault="00000000" w:rsidRPr="00000000" w14:paraId="0000000A">
      <w:pPr>
        <w:shd w:fill="ffffff" w:val="clear"/>
        <w:spacing w:after="100" w:lineRule="auto"/>
        <w:ind w:firstLine="28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Artículo Único.- </w:t>
      </w:r>
      <w:r w:rsidDel="00000000" w:rsidR="00000000" w:rsidRPr="00000000">
        <w:rPr>
          <w:sz w:val="20"/>
          <w:szCs w:val="20"/>
          <w:rtl w:val="0"/>
        </w:rPr>
        <w:t xml:space="preserve">Se reforma el artículo 23, primer párrafo y el artículo 24 de la Ley de Inversión Extranjera, para quedar como sigue:</w:t>
      </w:r>
    </w:p>
    <w:p w:rsidR="00000000" w:rsidDel="00000000" w:rsidP="00000000" w:rsidRDefault="00000000" w:rsidRPr="00000000" w14:paraId="0000000B">
      <w:pPr>
        <w:shd w:fill="ffffff" w:val="clear"/>
        <w:spacing w:after="100" w:lineRule="auto"/>
        <w:ind w:firstLine="28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ARTÍCULO 23.- </w:t>
      </w:r>
      <w:r w:rsidDel="00000000" w:rsidR="00000000" w:rsidRPr="00000000">
        <w:rPr>
          <w:sz w:val="20"/>
          <w:szCs w:val="20"/>
          <w:rtl w:val="0"/>
        </w:rPr>
        <w:t xml:space="preserve">La Comisión estará integrada por los Secretarios de Gobernación; de Relaciones Exteriores; de Hacienda y Crédito Público; de Bienestar; de Medio Ambiente y Recursos Naturales; de Energía; de Economía; de Infraestructura, Comunicaciones y Transportes; de Trabajo y Previsión Social, así como de Turismo, quienes podrán designar a un Subsecretario como suplente. Asimismo, se podrá invitar a participar en las sesiones de la Comisión a aquellas autoridades y representantes de los sectores privado y social que tengan relación con los asuntos a tratar, quienes tendrán voz, pero no voto.</w:t>
      </w:r>
    </w:p>
    <w:p w:rsidR="00000000" w:rsidDel="00000000" w:rsidP="00000000" w:rsidRDefault="00000000" w:rsidRPr="00000000" w14:paraId="0000000C">
      <w:pPr>
        <w:shd w:fill="ffffff" w:val="clear"/>
        <w:spacing w:after="100" w:lineRule="auto"/>
        <w:ind w:firstLine="280"/>
        <w:jc w:val="both"/>
        <w:rPr>
          <w:b w:val="1"/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0D">
      <w:pPr>
        <w:shd w:fill="ffffff" w:val="clear"/>
        <w:spacing w:after="100" w:lineRule="auto"/>
        <w:ind w:firstLine="280"/>
        <w:jc w:val="both"/>
        <w:rPr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ARTÍCULO 24.- 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La Comisión será presidida por el Secretario de Economía y para su funcionamiento contará con un Secretario Ejecutivo y un Comité de Representantes.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Rule="auto"/>
        <w:jc w:val="center"/>
        <w:rPr>
          <w:b w:val="1"/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0F">
      <w:pPr>
        <w:shd w:fill="ffffff" w:val="clear"/>
        <w:spacing w:after="100" w:lineRule="auto"/>
        <w:ind w:firstLine="28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Único. </w:t>
      </w:r>
      <w:r w:rsidDel="00000000" w:rsidR="00000000" w:rsidRPr="00000000">
        <w:rPr>
          <w:sz w:val="20"/>
          <w:szCs w:val="20"/>
          <w:rtl w:val="0"/>
        </w:rPr>
        <w:t xml:space="preserve">El presente Decreto entrará en vigor el día siguiente al de su publicación en el Diario Oficial de la Federación.</w:t>
      </w:r>
    </w:p>
    <w:p w:rsidR="00000000" w:rsidDel="00000000" w:rsidP="00000000" w:rsidRDefault="00000000" w:rsidRPr="00000000" w14:paraId="00000010">
      <w:pPr>
        <w:shd w:fill="ffffff" w:val="clear"/>
        <w:spacing w:after="100" w:lineRule="auto"/>
        <w:ind w:firstLine="280"/>
        <w:jc w:val="both"/>
        <w:rPr>
          <w:b w:val="1"/>
          <w:color w:val="2f2f2f"/>
          <w:sz w:val="20"/>
          <w:szCs w:val="20"/>
        </w:rPr>
      </w:pP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Ciudad de México, a 10 de abril de 2024.-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 Dip. 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Marcela Guerra Castillo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, Presidenta.- Sen. 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Ana Lilia Rivera Rivera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, Presidenta.- Dip. 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Karina Isabel Garivo Sánchez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, Secretaria.- Sen. 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Verónica Noemí Camino Farjat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, Secretaria.- Rúbricas.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 w14:paraId="00000011">
      <w:pPr>
        <w:shd w:fill="ffffff" w:val="clear"/>
        <w:spacing w:after="100" w:lineRule="auto"/>
        <w:ind w:firstLine="280"/>
        <w:jc w:val="both"/>
        <w:rPr>
          <w:color w:val="2f2f2f"/>
          <w:sz w:val="20"/>
          <w:szCs w:val="20"/>
        </w:rPr>
      </w:pPr>
      <w:r w:rsidDel="00000000" w:rsidR="00000000" w:rsidRPr="00000000">
        <w:rPr>
          <w:color w:val="2f2f2f"/>
          <w:sz w:val="20"/>
          <w:szCs w:val="20"/>
          <w:rtl w:val="0"/>
        </w:rPr>
        <w:t xml:space="preserve">En cumplimiento de lo dispuesto por la fracción I del Artículo 89 de la Constitución Política de los Estados Unidos Mexicanos, y para su debida publicación y observancia, expido el presente Decreto en la Residencia del Poder Ejecutivo Federal, en la Ciudad de México, a 23 de mayo de 2024.- 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Andrés Manuel López Obrador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.- Rúbrica.- La Secretaria de Gobernación, </w:t>
      </w:r>
      <w:r w:rsidDel="00000000" w:rsidR="00000000" w:rsidRPr="00000000">
        <w:rPr>
          <w:b w:val="1"/>
          <w:color w:val="2f2f2f"/>
          <w:sz w:val="20"/>
          <w:szCs w:val="20"/>
          <w:rtl w:val="0"/>
        </w:rPr>
        <w:t xml:space="preserve">Luisa María Alcalde Luján</w:t>
      </w:r>
      <w:r w:rsidDel="00000000" w:rsidR="00000000" w:rsidRPr="00000000">
        <w:rPr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