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302" w:rsidRPr="00841D9A" w:rsidRDefault="00480302" w:rsidP="00480302">
      <w:pPr>
        <w:jc w:val="center"/>
        <w:rPr>
          <w:rFonts w:ascii="Verdana" w:eastAsia="Verdana" w:hAnsi="Verdana" w:cs="Verdana"/>
          <w:b/>
          <w:color w:val="0000FF"/>
          <w:sz w:val="24"/>
          <w:szCs w:val="24"/>
        </w:rPr>
      </w:pPr>
      <w:r w:rsidRPr="00480302">
        <w:rPr>
          <w:rFonts w:ascii="Verdana" w:eastAsia="Verdana" w:hAnsi="Verdana" w:cs="Verdana"/>
          <w:b/>
          <w:color w:val="0000FF"/>
          <w:sz w:val="24"/>
          <w:szCs w:val="24"/>
        </w:rPr>
        <w:t>CONVENIO de Coordinación para el otorgamiento del subsidio para la creación, fortalecimiento y/o mejora de los Tribunales Laborales, que celebran la Secretaría del Trabajo y Previsión Social y el Estado de Tabasco.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13</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150060">
        <w:rPr>
          <w:rFonts w:ascii="Verdana" w:eastAsia="Verdana" w:hAnsi="Verdana" w:cs="Verdana"/>
          <w:b/>
          <w:color w:val="0000FF"/>
          <w:sz w:val="24"/>
          <w:szCs w:val="24"/>
        </w:rPr>
        <w:t xml:space="preserve"> de 2023)</w:t>
      </w:r>
      <w:bookmarkEnd w:id="0"/>
    </w:p>
    <w:p w:rsidR="009C6C5F" w:rsidRDefault="00480302" w:rsidP="00480302">
      <w:pPr>
        <w:jc w:val="both"/>
        <w:rPr>
          <w:rFonts w:ascii="Arial" w:eastAsia="Times New Roman" w:hAnsi="Arial" w:cs="Arial"/>
          <w:color w:val="2F2F2F"/>
          <w:sz w:val="16"/>
          <w:szCs w:val="16"/>
          <w:lang w:eastAsia="es-MX"/>
        </w:rPr>
      </w:pPr>
      <w:r w:rsidRPr="00480302">
        <w:rPr>
          <w:rFonts w:ascii="Arial" w:eastAsia="Times New Roman" w:hAnsi="Arial" w:cs="Arial"/>
          <w:color w:val="2F2F2F"/>
          <w:sz w:val="16"/>
          <w:szCs w:val="16"/>
          <w:lang w:eastAsia="es-MX"/>
        </w:rPr>
        <w:t xml:space="preserve">CONVENIO DE COORDINACIÓN PARA EL OTORGAMIENTO DEL SUBSIDIO PARA LA "CREACIÓN, FORTALECIMIENTO Y/O MEJORA DE LOS TRIBUNALES LABORALES" QUE CELEBRAN, POR UNA PARTE, EL EJECUTIVO FEDERAL, POR CONDUCTO DE LA SECRETARÍA DEL TRABAJO Y PREVISIÓN SOCIAL, EN LO SUCESIVO "LA SECRETARÍA", REPRESENTADA POR LA PERSONA TITULAR DE LA UNIDAD DE ENLACE PARA LA REFORMA AL SISTEMA DE JUSTICIA LABORAL, TEY WENDOLYNE RETANA ALARCÓN, Y POR EL TITULAR DE LA UNIDAD DE ADMINISTRACIÓN Y FINANZAS, HANZEL HOMERO ALVIZAR BAÑUELOS Y POR OTRA PARTE, EL GOBIERNO DEL ESTADO DE TABASCO, EN ADELANTE "EL GOBIERNO DEL ESTADO", REPRESENTADO POR EL SECRETARIO DE FINANZAS DEL ESTADO DE TABASCO, LUIS ROMEO GURRÍA </w:t>
      </w:r>
      <w:proofErr w:type="spellStart"/>
      <w:r w:rsidRPr="00480302">
        <w:rPr>
          <w:rFonts w:ascii="Arial" w:eastAsia="Times New Roman" w:hAnsi="Arial" w:cs="Arial"/>
          <w:color w:val="2F2F2F"/>
          <w:sz w:val="16"/>
          <w:szCs w:val="16"/>
          <w:lang w:eastAsia="es-MX"/>
        </w:rPr>
        <w:t>GURRÍA</w:t>
      </w:r>
      <w:proofErr w:type="spellEnd"/>
      <w:r w:rsidRPr="00480302">
        <w:rPr>
          <w:rFonts w:ascii="Arial" w:eastAsia="Times New Roman" w:hAnsi="Arial" w:cs="Arial"/>
          <w:color w:val="2F2F2F"/>
          <w:sz w:val="16"/>
          <w:szCs w:val="16"/>
          <w:lang w:eastAsia="es-MX"/>
        </w:rPr>
        <w:t>, Y EL REPRESENTANTE DEL PODER JUDICIAL DEL ESTADO DE TABASCO, ENRIQUE PRIEGO OROPEZA, MAGISTRADO PRESIDENTE DEL PODER JUDICIAL DEL ESTADO DE TABASCO; A QUIENES CUANDO ACTÚEN CONJUNTAMENTE SE LES DESIGNARÁ COMO "LAS PARTES", AL TENOR DE LOS SIGUIENTES ANTECEDENTES, DECLARACIONES Y CLÁUSULAS:</w:t>
      </w:r>
    </w:p>
    <w:p w:rsidR="00480302" w:rsidRPr="00480302" w:rsidRDefault="00480302" w:rsidP="0048030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80302">
        <w:rPr>
          <w:rFonts w:ascii="Times" w:eastAsia="Times New Roman" w:hAnsi="Times" w:cs="Times New Roman"/>
          <w:b/>
          <w:bCs/>
          <w:color w:val="2F2F2F"/>
          <w:sz w:val="18"/>
          <w:szCs w:val="18"/>
          <w:lang w:eastAsia="es-MX"/>
        </w:rPr>
        <w:t>ANTECEDENTES</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I.</w:t>
      </w:r>
      <w:r w:rsidRPr="00480302">
        <w:rPr>
          <w:rFonts w:ascii="Arial" w:eastAsia="Times New Roman" w:hAnsi="Arial" w:cs="Arial"/>
          <w:color w:val="2F2F2F"/>
          <w:sz w:val="18"/>
          <w:szCs w:val="18"/>
          <w:lang w:eastAsia="es-MX"/>
        </w:rPr>
        <w:t> Con fecha 24 de febrero de 2017, se publicó en el Diario Oficial de la Federación (DOF) el "</w:t>
      </w:r>
      <w:r w:rsidRPr="00480302">
        <w:rPr>
          <w:rFonts w:ascii="Arial" w:eastAsia="Times New Roman" w:hAnsi="Arial" w:cs="Arial"/>
          <w:i/>
          <w:iCs/>
          <w:color w:val="2F2F2F"/>
          <w:sz w:val="18"/>
          <w:szCs w:val="18"/>
          <w:lang w:eastAsia="es-MX"/>
        </w:rPr>
        <w:t>Decreto por el que se declaran reformadas y adicionadas diversas disposiciones de los artículos 107 y 123 de la Constitución Política de los Estados Unidos Mexicanos, en materia de Justicia Laboral"</w:t>
      </w:r>
      <w:r w:rsidRPr="00480302">
        <w:rPr>
          <w:rFonts w:ascii="Arial" w:eastAsia="Times New Roman" w:hAnsi="Arial" w:cs="Arial"/>
          <w:color w:val="2F2F2F"/>
          <w:sz w:val="18"/>
          <w:szCs w:val="18"/>
          <w:lang w:eastAsia="es-MX"/>
        </w:rPr>
        <w:t>,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color w:val="2F2F2F"/>
          <w:sz w:val="18"/>
          <w:szCs w:val="18"/>
          <w:lang w:eastAsia="es-MX"/>
        </w:rPr>
        <w:t>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II.</w:t>
      </w:r>
      <w:r w:rsidRPr="00480302">
        <w:rPr>
          <w:rFonts w:ascii="Arial" w:eastAsia="Times New Roman" w:hAnsi="Arial" w:cs="Arial"/>
          <w:color w:val="2F2F2F"/>
          <w:sz w:val="18"/>
          <w:szCs w:val="18"/>
          <w:lang w:eastAsia="es-MX"/>
        </w:rPr>
        <w:t> Con fecha 1° de mayo de 2019, se publicó en el DOF </w:t>
      </w:r>
      <w:r w:rsidRPr="00480302">
        <w:rPr>
          <w:rFonts w:ascii="Arial" w:eastAsia="Times New Roman" w:hAnsi="Arial" w:cs="Arial"/>
          <w:i/>
          <w:iCs/>
          <w:color w:val="2F2F2F"/>
          <w:sz w:val="18"/>
          <w:szCs w:val="18"/>
          <w:lang w:eastAsia="es-MX"/>
        </w:rPr>
        <w:t>"Decreto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RPr="00480302">
        <w:rPr>
          <w:rFonts w:ascii="Arial" w:eastAsia="Times New Roman" w:hAnsi="Arial" w:cs="Arial"/>
          <w:color w:val="2F2F2F"/>
          <w:sz w:val="18"/>
          <w:szCs w:val="18"/>
          <w:lang w:eastAsia="es-MX"/>
        </w:rPr>
        <w:t>, con el cual se establecen las reglas relativas al procedimiento de conciliación prejudicial obligatoria para la resolución de problemas de orden laboral.</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III.</w:t>
      </w:r>
      <w:r w:rsidRPr="00480302">
        <w:rPr>
          <w:rFonts w:ascii="Arial" w:eastAsia="Times New Roman" w:hAnsi="Arial" w:cs="Arial"/>
          <w:color w:val="2F2F2F"/>
          <w:sz w:val="18"/>
          <w:szCs w:val="18"/>
          <w:lang w:eastAsia="es-MX"/>
        </w:rPr>
        <w:t> El artículo Quinto Transitorio del Decreto referido en el párrafo anterior, dispone que la Autoridad Conciliatoria Local y los Tribunales Laborales del Poder Judicial de las Entidades Federativas iniciarán actividades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Laborales Locales en cada Entidad Federativa comenzará en la misma fecha en que lo hagan los Tribunales Laborales Locales.</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color w:val="2F2F2F"/>
          <w:sz w:val="18"/>
          <w:szCs w:val="18"/>
          <w:lang w:eastAsia="es-MX"/>
        </w:rPr>
        <w:t xml:space="preserve">Por otra parte, el artículo Décimo Segundo Transitorio del Decreto mencionado, dispone que el Congreso de la Unión y las Legislaturas de las Entidades Federativas, </w:t>
      </w:r>
      <w:proofErr w:type="gramStart"/>
      <w:r w:rsidRPr="00480302">
        <w:rPr>
          <w:rFonts w:ascii="Arial" w:eastAsia="Times New Roman" w:hAnsi="Arial" w:cs="Arial"/>
          <w:color w:val="2F2F2F"/>
          <w:sz w:val="18"/>
          <w:szCs w:val="18"/>
          <w:lang w:eastAsia="es-MX"/>
        </w:rPr>
        <w:t>deberán</w:t>
      </w:r>
      <w:proofErr w:type="gramEnd"/>
      <w:r w:rsidRPr="00480302">
        <w:rPr>
          <w:rFonts w:ascii="Arial" w:eastAsia="Times New Roman" w:hAnsi="Arial" w:cs="Arial"/>
          <w:color w:val="2F2F2F"/>
          <w:sz w:val="18"/>
          <w:szCs w:val="18"/>
          <w:lang w:eastAsia="es-MX"/>
        </w:rPr>
        <w:t xml:space="preserve"> destinar los recursos necesarios para la implementación de la reforma del Sistema de Justicia Laboral.</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IV.</w:t>
      </w:r>
      <w:r w:rsidRPr="00480302">
        <w:rPr>
          <w:rFonts w:ascii="Arial" w:eastAsia="Times New Roman" w:hAnsi="Arial" w:cs="Arial"/>
          <w:color w:val="2F2F2F"/>
          <w:sz w:val="18"/>
          <w:szCs w:val="18"/>
          <w:lang w:eastAsia="es-MX"/>
        </w:rPr>
        <w:t xml:space="preserve"> Que el artículo Décimo Séptimo Transitorio del Decreto referido en el Antecedente II, crea el Consejo de Coordinación </w:t>
      </w:r>
      <w:proofErr w:type="spellStart"/>
      <w:r w:rsidRPr="00480302">
        <w:rPr>
          <w:rFonts w:ascii="Arial" w:eastAsia="Times New Roman" w:hAnsi="Arial" w:cs="Arial"/>
          <w:color w:val="2F2F2F"/>
          <w:sz w:val="18"/>
          <w:szCs w:val="18"/>
          <w:lang w:eastAsia="es-MX"/>
        </w:rPr>
        <w:t>parala</w:t>
      </w:r>
      <w:proofErr w:type="spellEnd"/>
      <w:r w:rsidRPr="00480302">
        <w:rPr>
          <w:rFonts w:ascii="Arial" w:eastAsia="Times New Roman" w:hAnsi="Arial" w:cs="Arial"/>
          <w:color w:val="2F2F2F"/>
          <w:sz w:val="18"/>
          <w:szCs w:val="18"/>
          <w:lang w:eastAsia="es-MX"/>
        </w:rPr>
        <w:t xml:space="preserve"> Implementación de la Reforma al Sistema de Justicia Laboral (CCIRSJL) 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color w:val="2F2F2F"/>
          <w:sz w:val="18"/>
          <w:szCs w:val="18"/>
          <w:lang w:eastAsia="es-MX"/>
        </w:rPr>
        <w:lastRenderedPageBreak/>
        <w:t>Entre sus atribuciones, el Consejo de Coordinación coadyuvará con las Legislaturas de las Entidades Federativas, en el seguimiento y evaluación de los recursos presupuestales ejercidos en la implementación y operación del Sistema de Justicia Laboral.</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V.</w:t>
      </w:r>
      <w:r w:rsidRPr="00480302">
        <w:rPr>
          <w:rFonts w:ascii="Arial" w:eastAsia="Times New Roman" w:hAnsi="Arial" w:cs="Arial"/>
          <w:color w:val="2F2F2F"/>
          <w:sz w:val="18"/>
          <w:szCs w:val="18"/>
          <w:lang w:eastAsia="es-MX"/>
        </w:rPr>
        <w:t> 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VI.</w:t>
      </w:r>
      <w:r w:rsidRPr="00480302">
        <w:rPr>
          <w:rFonts w:ascii="Arial" w:eastAsia="Times New Roman" w:hAnsi="Arial" w:cs="Arial"/>
          <w:color w:val="2F2F2F"/>
          <w:sz w:val="18"/>
          <w:szCs w:val="18"/>
          <w:lang w:eastAsia="es-MX"/>
        </w:rPr>
        <w:t> El 17 de marzo de 2020, se publicó en el DOF el Acuerdo por el que se crea la Unidad de Enlace para la Reforma al Sistema de Justicia Laboral de la Secretaría del Trabajo y Previsión Social, cuyo artículo 3, fracción VII, le confiere la atribución de observar que la administración de los recursos públicos federales asignados se realice con base en criterios de legalidad, honestidad, eficiencia, eficacia, economía, racionalidad, austeridad, transparencia, control, rendición de cuentas y equidad de género establecidos en el artículo 1, párrafo segundo, de la Ley Federal de Presupuesto y Responsabilidad Hacendaria. Asimismo, el artículo transitorio Segundo del citado Acuerdo dispone que las Unidades Administrativas de la Secretaría del Trabajo y Previsión Social, en el ámbito de sus competencias, brindarán apoyo y asesoría técnica a la Unidad Enlace para la Reforma al Sistema de Justicia Laboral para el seguimiento y evaluación del ejercicio presupuestal del programa de subsidios que la Secretaría instrumente para la implementación de la Reforma al Sistema de Justicia Laboral.</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VII.</w:t>
      </w:r>
      <w:r w:rsidRPr="00480302">
        <w:rPr>
          <w:rFonts w:ascii="Arial" w:eastAsia="Times New Roman" w:hAnsi="Arial" w:cs="Arial"/>
          <w:color w:val="2F2F2F"/>
          <w:sz w:val="18"/>
          <w:szCs w:val="18"/>
          <w:lang w:eastAsia="es-MX"/>
        </w:rPr>
        <w:t> El 18 de mayo de 2022, se publicó en el DOF el DECRETO por el que se reforma el artículo Quinto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DOF el 1° de mayo de 2019; lo anterior, para señalar que los Centros de Conciliación locales y los Tribunales del Poder Judicial de las Entidades Federativas iniciarán actividades a más tardar el 3 de octubre de 2022, en términos de lo que establezca su propia normatividad y posibilidades presupuestales, conforme a lo que determinen sus poderes locales.</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VIII. </w:t>
      </w:r>
      <w:r w:rsidRPr="00480302">
        <w:rPr>
          <w:rFonts w:ascii="Arial" w:eastAsia="Times New Roman" w:hAnsi="Arial" w:cs="Arial"/>
          <w:color w:val="2F2F2F"/>
          <w:sz w:val="18"/>
          <w:szCs w:val="18"/>
          <w:lang w:eastAsia="es-MX"/>
        </w:rPr>
        <w:t>Que el 19 de julio de 2022, de conformidad con los artículos Quinto y Décimo Séptimo Transitorios del citado Decreto del1° de mayo de 2019, el Consejo de Coordinación para la Implementación de la Reforma al Sistema de Justicia Laboral aprobó en su Tercera Sesión Ordinaria el Acuerdo 08-19/07/2022 por el que se exhorta a la Secretaría de Trabajo y Previsión Social a realizar las acciones necesarias para instrumentar un programa de subsidio a las entidades federativas que conforman las tres etapas de implementación de la Reforma al Sistema de Justicia Laboral para el año 2023, atendiendo a la disponibilidad presupuestal y obedeciendo los principios de racionalidad, transparencia y eficiencia.</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IX.</w:t>
      </w:r>
      <w:r w:rsidRPr="00480302">
        <w:rPr>
          <w:rFonts w:ascii="Arial" w:eastAsia="Times New Roman" w:hAnsi="Arial" w:cs="Arial"/>
          <w:color w:val="2F2F2F"/>
          <w:sz w:val="18"/>
          <w:szCs w:val="18"/>
          <w:lang w:eastAsia="es-MX"/>
        </w:rPr>
        <w:t> El 28 de noviembre de 2022 se publicó en el Diario Oficial de la Federación el Presupuesto de Egresos de la Federación para el Ejercicio Fiscal 2023; en el cual se asignaron a la Secretaría del Trabajo y Previsión Social los recursos suficientes para atender su estructura programática, dentro la cual se encuentra el "Programa Presupuestario U 100 Subsidios a las Entidades Federativas para la implementación de la Reforma al Sistema de Justicia Laboral", en el cual se consideran recursos para coadyuvar con las Entidades Federativas en la implementación de la Reforma al Sistema de Justicia Laboral.</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X.</w:t>
      </w:r>
      <w:r w:rsidRPr="00480302">
        <w:rPr>
          <w:rFonts w:ascii="Arial" w:eastAsia="Times New Roman" w:hAnsi="Arial" w:cs="Arial"/>
          <w:color w:val="2F2F2F"/>
          <w:sz w:val="18"/>
          <w:szCs w:val="18"/>
          <w:lang w:eastAsia="es-MX"/>
        </w:rPr>
        <w:t> Derivado de la fracción anterior, el 28 de diciembre de 2022 se publicaron en el DOF los Lineamientos por los que se establecen las bases y requisitos que deberán cumplir las entidades federativas para acceder al subsidio para la creación, fortalecimiento y/o mejora de los Centros de Conciliación y Tribunales Laborales.</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XI.</w:t>
      </w:r>
      <w:r w:rsidRPr="00480302">
        <w:rPr>
          <w:rFonts w:ascii="Arial" w:eastAsia="Times New Roman" w:hAnsi="Arial" w:cs="Arial"/>
          <w:color w:val="2F2F2F"/>
          <w:sz w:val="18"/>
          <w:szCs w:val="18"/>
          <w:lang w:eastAsia="es-MX"/>
        </w:rPr>
        <w:t> 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color w:val="2F2F2F"/>
          <w:sz w:val="18"/>
          <w:szCs w:val="18"/>
          <w:lang w:eastAsia="es-MX"/>
        </w:rPr>
        <w:t>a) Identificar con precisión la población objetivo; b) Incorporar mecanismos periódicos de seguimiento, supervisión y evaluación; c) Prever la temporalidad en su otorgamiento y d) Reportar su ejercicio.</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lastRenderedPageBreak/>
        <w:t>XII.</w:t>
      </w:r>
      <w:r w:rsidRPr="00480302">
        <w:rPr>
          <w:rFonts w:ascii="Arial" w:eastAsia="Times New Roman" w:hAnsi="Arial" w:cs="Arial"/>
          <w:color w:val="2F2F2F"/>
          <w:sz w:val="18"/>
          <w:szCs w:val="18"/>
          <w:lang w:eastAsia="es-MX"/>
        </w:rPr>
        <w:t> 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XIII.</w:t>
      </w:r>
      <w:r w:rsidRPr="00480302">
        <w:rPr>
          <w:rFonts w:ascii="Arial" w:eastAsia="Times New Roman" w:hAnsi="Arial" w:cs="Arial"/>
          <w:color w:val="2F2F2F"/>
          <w:sz w:val="18"/>
          <w:szCs w:val="18"/>
          <w:lang w:eastAsia="es-MX"/>
        </w:rPr>
        <w:t> Que, del cumplimiento en tiempo y forma de los requisitos señalados en los Lineamientos, el Comité de Evaluación de Proyectos determinó aprobar el Proyecto presentado por el Estado de Tabasco, por lo que autorizó la cantidad de $ 850,722.17 (Ochocientos cincuenta mil setecientos veintidós 17/100 M.N.) para el fortalecimiento y/o mejora de los Tribunales Laborales Locales.</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XIV.</w:t>
      </w:r>
      <w:r w:rsidRPr="00480302">
        <w:rPr>
          <w:rFonts w:ascii="Arial" w:eastAsia="Times New Roman" w:hAnsi="Arial" w:cs="Arial"/>
          <w:color w:val="2F2F2F"/>
          <w:sz w:val="18"/>
          <w:szCs w:val="18"/>
          <w:lang w:eastAsia="es-MX"/>
        </w:rPr>
        <w:t> Dicha situación se notificó a la Entidad Federativa mediante resolución del Comité de Evaluación de Proyectos el 24 de agosto de 2023, por lo que, en cumplimiento con lo establecido en el numeral Décimo noveno, Vigésimo tercero y Vigésimo cuarto de los Lineamientos, se celebra el presente instrumento para la transferencia de los recursos referidos en la fracción anterior.</w:t>
      </w:r>
    </w:p>
    <w:p w:rsidR="00480302" w:rsidRPr="00480302" w:rsidRDefault="00480302" w:rsidP="0048030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80302">
        <w:rPr>
          <w:rFonts w:ascii="Times" w:eastAsia="Times New Roman" w:hAnsi="Times" w:cs="Times New Roman"/>
          <w:b/>
          <w:bCs/>
          <w:color w:val="2F2F2F"/>
          <w:sz w:val="18"/>
          <w:szCs w:val="18"/>
          <w:lang w:eastAsia="es-MX"/>
        </w:rPr>
        <w:t>DECLARACIONES</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I. "LA SECRETARÍA" declara que:</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I.1.</w:t>
      </w:r>
      <w:r w:rsidRPr="00480302">
        <w:rPr>
          <w:rFonts w:ascii="Arial" w:eastAsia="Times New Roman" w:hAnsi="Arial" w:cs="Arial"/>
          <w:color w:val="2F2F2F"/>
          <w:sz w:val="18"/>
          <w:szCs w:val="18"/>
          <w:lang w:eastAsia="es-MX"/>
        </w:rPr>
        <w:t> 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I.2.</w:t>
      </w:r>
      <w:r w:rsidRPr="00480302">
        <w:rPr>
          <w:rFonts w:ascii="Arial" w:eastAsia="Times New Roman" w:hAnsi="Arial" w:cs="Arial"/>
          <w:color w:val="2F2F2F"/>
          <w:sz w:val="18"/>
          <w:szCs w:val="18"/>
          <w:lang w:eastAsia="es-MX"/>
        </w:rPr>
        <w:t> 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I.3.</w:t>
      </w:r>
      <w:r w:rsidRPr="00480302">
        <w:rPr>
          <w:rFonts w:ascii="Arial" w:eastAsia="Times New Roman" w:hAnsi="Arial" w:cs="Arial"/>
          <w:color w:val="2F2F2F"/>
          <w:sz w:val="18"/>
          <w:szCs w:val="18"/>
          <w:lang w:eastAsia="es-MX"/>
        </w:rPr>
        <w:t> </w:t>
      </w:r>
      <w:proofErr w:type="spellStart"/>
      <w:r w:rsidRPr="00480302">
        <w:rPr>
          <w:rFonts w:ascii="Arial" w:eastAsia="Times New Roman" w:hAnsi="Arial" w:cs="Arial"/>
          <w:color w:val="2F2F2F"/>
          <w:sz w:val="18"/>
          <w:szCs w:val="18"/>
          <w:lang w:eastAsia="es-MX"/>
        </w:rPr>
        <w:t>Tey</w:t>
      </w:r>
      <w:proofErr w:type="spellEnd"/>
      <w:r w:rsidRPr="00480302">
        <w:rPr>
          <w:rFonts w:ascii="Arial" w:eastAsia="Times New Roman" w:hAnsi="Arial" w:cs="Arial"/>
          <w:color w:val="2F2F2F"/>
          <w:sz w:val="18"/>
          <w:szCs w:val="18"/>
          <w:lang w:eastAsia="es-MX"/>
        </w:rPr>
        <w:t xml:space="preserve"> </w:t>
      </w:r>
      <w:proofErr w:type="spellStart"/>
      <w:r w:rsidRPr="00480302">
        <w:rPr>
          <w:rFonts w:ascii="Arial" w:eastAsia="Times New Roman" w:hAnsi="Arial" w:cs="Arial"/>
          <w:color w:val="2F2F2F"/>
          <w:sz w:val="18"/>
          <w:szCs w:val="18"/>
          <w:lang w:eastAsia="es-MX"/>
        </w:rPr>
        <w:t>Wendolyne</w:t>
      </w:r>
      <w:proofErr w:type="spellEnd"/>
      <w:r w:rsidRPr="00480302">
        <w:rPr>
          <w:rFonts w:ascii="Arial" w:eastAsia="Times New Roman" w:hAnsi="Arial" w:cs="Arial"/>
          <w:color w:val="2F2F2F"/>
          <w:sz w:val="18"/>
          <w:szCs w:val="18"/>
          <w:lang w:eastAsia="es-MX"/>
        </w:rPr>
        <w:t xml:space="preserve"> Retana Alarcón, en su carácter de Titular de la Unidad Enlace para la Reforma al Sistema de Justicia Laboral (UERSJL), está plenamente facultada para suscribir el presente Convenio,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I.4.</w:t>
      </w:r>
      <w:r w:rsidRPr="00480302">
        <w:rPr>
          <w:rFonts w:ascii="Arial" w:eastAsia="Times New Roman" w:hAnsi="Arial" w:cs="Arial"/>
          <w:color w:val="2F2F2F"/>
          <w:sz w:val="18"/>
          <w:szCs w:val="18"/>
          <w:lang w:eastAsia="es-MX"/>
        </w:rPr>
        <w:t> </w:t>
      </w:r>
      <w:proofErr w:type="spellStart"/>
      <w:r w:rsidRPr="00480302">
        <w:rPr>
          <w:rFonts w:ascii="Arial" w:eastAsia="Times New Roman" w:hAnsi="Arial" w:cs="Arial"/>
          <w:color w:val="2F2F2F"/>
          <w:sz w:val="18"/>
          <w:szCs w:val="18"/>
          <w:lang w:eastAsia="es-MX"/>
        </w:rPr>
        <w:t>Hanzel</w:t>
      </w:r>
      <w:proofErr w:type="spellEnd"/>
      <w:r w:rsidRPr="00480302">
        <w:rPr>
          <w:rFonts w:ascii="Arial" w:eastAsia="Times New Roman" w:hAnsi="Arial" w:cs="Arial"/>
          <w:color w:val="2F2F2F"/>
          <w:sz w:val="18"/>
          <w:szCs w:val="18"/>
          <w:lang w:eastAsia="es-MX"/>
        </w:rPr>
        <w:t xml:space="preserve"> Homero </w:t>
      </w:r>
      <w:proofErr w:type="spellStart"/>
      <w:r w:rsidRPr="00480302">
        <w:rPr>
          <w:rFonts w:ascii="Arial" w:eastAsia="Times New Roman" w:hAnsi="Arial" w:cs="Arial"/>
          <w:color w:val="2F2F2F"/>
          <w:sz w:val="18"/>
          <w:szCs w:val="18"/>
          <w:lang w:eastAsia="es-MX"/>
        </w:rPr>
        <w:t>Alvizar</w:t>
      </w:r>
      <w:proofErr w:type="spellEnd"/>
      <w:r w:rsidRPr="00480302">
        <w:rPr>
          <w:rFonts w:ascii="Arial" w:eastAsia="Times New Roman" w:hAnsi="Arial" w:cs="Arial"/>
          <w:color w:val="2F2F2F"/>
          <w:sz w:val="18"/>
          <w:szCs w:val="18"/>
          <w:lang w:eastAsia="es-MX"/>
        </w:rPr>
        <w:t xml:space="preserve"> Bañuelos,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I.5.</w:t>
      </w:r>
      <w:r w:rsidRPr="00480302">
        <w:rPr>
          <w:rFonts w:ascii="Arial" w:eastAsia="Times New Roman" w:hAnsi="Arial" w:cs="Arial"/>
          <w:color w:val="2F2F2F"/>
          <w:sz w:val="18"/>
          <w:szCs w:val="18"/>
          <w:lang w:eastAsia="es-MX"/>
        </w:rPr>
        <w:t> Para dar cumplimiento al presente Convenio de Coordinación, cuenta con los recursos económicos suficientes para la consolidación de la Reforma en Materia de Justicia Laboral, Libertad Sindical y Negociación Colectiva, publicada en el DOF el 1º de mayo de 2019, para operar los Centros de Conciliación Locales y Tribunales Laborales Locales.</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I.6.</w:t>
      </w:r>
      <w:r w:rsidRPr="00480302">
        <w:rPr>
          <w:rFonts w:ascii="Arial" w:eastAsia="Times New Roman" w:hAnsi="Arial" w:cs="Arial"/>
          <w:color w:val="2F2F2F"/>
          <w:sz w:val="18"/>
          <w:szCs w:val="18"/>
          <w:lang w:eastAsia="es-MX"/>
        </w:rPr>
        <w:t> Para efectos derivados del presente Convenio, señala como su domicilio el ubicado en Boulevard Adolfo López Mateos1968, piso 4, Colonia Los Alpes, Alcaldía Álvaro Obregón, Código Postal 01010, en la Ciudad de México.</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II. "EL GOBIERNO DEL ESTADO" declara que:</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II.1</w:t>
      </w:r>
      <w:r w:rsidRPr="00480302">
        <w:rPr>
          <w:rFonts w:ascii="Arial" w:eastAsia="Times New Roman" w:hAnsi="Arial" w:cs="Arial"/>
          <w:color w:val="2F2F2F"/>
          <w:sz w:val="18"/>
          <w:szCs w:val="18"/>
          <w:lang w:eastAsia="es-MX"/>
        </w:rPr>
        <w:t> Que el Estado de Tabasco, es una entidad libre y soberana en lo que refiere a su régimen interior y es parte integrante de los Estados Unidos Mexicanos de conformidad con los artículos 40, 43 de la Constitución Política de los Estados Unidos Mexicanos, 1 y 9 de la Constitución Política del Estado Libre y Soberano de Tabasco.</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II.2</w:t>
      </w:r>
      <w:r w:rsidRPr="00480302">
        <w:rPr>
          <w:rFonts w:ascii="Arial" w:eastAsia="Times New Roman" w:hAnsi="Arial" w:cs="Arial"/>
          <w:color w:val="2F2F2F"/>
          <w:sz w:val="18"/>
          <w:szCs w:val="18"/>
          <w:lang w:eastAsia="es-MX"/>
        </w:rPr>
        <w:t xml:space="preserve"> Luis Romeo Gurría </w:t>
      </w:r>
      <w:proofErr w:type="spellStart"/>
      <w:r w:rsidRPr="00480302">
        <w:rPr>
          <w:rFonts w:ascii="Arial" w:eastAsia="Times New Roman" w:hAnsi="Arial" w:cs="Arial"/>
          <w:color w:val="2F2F2F"/>
          <w:sz w:val="18"/>
          <w:szCs w:val="18"/>
          <w:lang w:eastAsia="es-MX"/>
        </w:rPr>
        <w:t>Gurría</w:t>
      </w:r>
      <w:proofErr w:type="spellEnd"/>
      <w:r w:rsidRPr="00480302">
        <w:rPr>
          <w:rFonts w:ascii="Arial" w:eastAsia="Times New Roman" w:hAnsi="Arial" w:cs="Arial"/>
          <w:color w:val="2F2F2F"/>
          <w:sz w:val="18"/>
          <w:szCs w:val="18"/>
          <w:lang w:eastAsia="es-MX"/>
        </w:rPr>
        <w:t>, por disposición del Gobernador Interino del Estado, Carlos Manuel Merino Campos, fue designado (a) el día 01 de junio de 2022, Secretario de Finanzas del Poder Ejecutivo del Estado, por lo que cuenta con las atribuciones necesarias para participar, en el ámbito de su competencia, en la suscripción del presente instrumento jurídico, de conformidad con lo establecido por los artículos 14, fracción X, 29 fracción III, 32 fracciones I,II,III,IV,V y VI de la Ley Orgánica del Poder Ejecutivo del Estado de Tabasco, 9 fracción XI del Reglamento Interior de la Secretaría de Finanzas y 69 de la Ley General de Contabilidad Gubernamental.</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II.3</w:t>
      </w:r>
      <w:r w:rsidRPr="00480302">
        <w:rPr>
          <w:rFonts w:ascii="Arial" w:eastAsia="Times New Roman" w:hAnsi="Arial" w:cs="Arial"/>
          <w:color w:val="2F2F2F"/>
          <w:sz w:val="18"/>
          <w:szCs w:val="18"/>
          <w:lang w:eastAsia="es-MX"/>
        </w:rPr>
        <w:t> Cuenta con la capacidad económica presupuestal para que, de ser el caso, aporte recursos que serán destinados a la implementación de la Reforma al Sistema de Justicia Laboral, para la creación los Tribunales Laborales de esa Entidad Federativa, materia del presente Convenio, en los términos y hasta donde las disposiciones administrativas y presupuestales lo permitan.</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lastRenderedPageBreak/>
        <w:t>II.4</w:t>
      </w:r>
      <w:r w:rsidRPr="00480302">
        <w:rPr>
          <w:rFonts w:ascii="Arial" w:eastAsia="Times New Roman" w:hAnsi="Arial" w:cs="Arial"/>
          <w:color w:val="2F2F2F"/>
          <w:sz w:val="18"/>
          <w:szCs w:val="18"/>
          <w:lang w:eastAsia="es-MX"/>
        </w:rPr>
        <w:t> Para los efectos del presente instrumento, tiene como domicilio legal el ubicado en Calle P de la Sierra No. 435, Colonia Reforma, C.P. 86080, Centro, Tabasco.</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II.5</w:t>
      </w:r>
      <w:r w:rsidRPr="00480302">
        <w:rPr>
          <w:rFonts w:ascii="Arial" w:eastAsia="Times New Roman" w:hAnsi="Arial" w:cs="Arial"/>
          <w:color w:val="2F2F2F"/>
          <w:sz w:val="18"/>
          <w:szCs w:val="18"/>
          <w:lang w:eastAsia="es-MX"/>
        </w:rPr>
        <w:t> Enrique Priego Oropeza, Magistrado Presidente del Tribunal Superior de Justicia del Estado de Tabasco, cuenta con facultades para suscribir el presente instrumento jurídico en términos de lo dispuesto en los artículos 55, 55 Bis de la Constitución Política del Estado Libre y Soberano de Tabasco y 4, 21 y 94 de la Ley Orgánica del Poder Judicial del Estado de Tabasco.</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III. "LAS PARTES" declaran que:</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III.1.</w:t>
      </w:r>
      <w:r w:rsidRPr="00480302">
        <w:rPr>
          <w:rFonts w:ascii="Arial" w:eastAsia="Times New Roman" w:hAnsi="Arial" w:cs="Arial"/>
          <w:color w:val="2F2F2F"/>
          <w:sz w:val="18"/>
          <w:szCs w:val="18"/>
          <w:lang w:eastAsia="es-MX"/>
        </w:rPr>
        <w:t> Reconocen en forma recíproca la personalidad con la que se ostentan y comparecen a la suscripción de este Convenio.</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III.2.</w:t>
      </w:r>
      <w:r w:rsidRPr="00480302">
        <w:rPr>
          <w:rFonts w:ascii="Arial" w:eastAsia="Times New Roman" w:hAnsi="Arial" w:cs="Arial"/>
          <w:color w:val="2F2F2F"/>
          <w:sz w:val="18"/>
          <w:szCs w:val="18"/>
          <w:lang w:eastAsia="es-MX"/>
        </w:rPr>
        <w:t> Es su voluntad conjuntar esfuerzos en sus respectivos ámbitos de gobierno, para impulsar y ejecutar acciones que tengan como eje central la implementación de la Reforma al Sistema de Justicia Laboral.</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III.3. </w:t>
      </w:r>
      <w:r w:rsidRPr="00480302">
        <w:rPr>
          <w:rFonts w:ascii="Arial" w:eastAsia="Times New Roman" w:hAnsi="Arial" w:cs="Arial"/>
          <w:color w:val="2F2F2F"/>
          <w:sz w:val="18"/>
          <w:szCs w:val="18"/>
          <w:lang w:eastAsia="es-MX"/>
        </w:rPr>
        <w:t>Están convencidas de la importancia de instrumentar, con prioridad, los mecanismos necesarios para la creación y fortalecimiento de los Tribunales Laborales de la Entidad Federativa, a fin de otorgar el servicio público en la instancia judicial, tal y como lo refiere el artículo 123, apartado A, fracción XX de la Constitución Federal.</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III.4.</w:t>
      </w:r>
      <w:r w:rsidRPr="00480302">
        <w:rPr>
          <w:rFonts w:ascii="Arial" w:eastAsia="Times New Roman" w:hAnsi="Arial" w:cs="Arial"/>
          <w:color w:val="2F2F2F"/>
          <w:sz w:val="18"/>
          <w:szCs w:val="18"/>
          <w:lang w:eastAsia="es-MX"/>
        </w:rPr>
        <w:t> Consideran como acciones prioritarias para la implementación de la Reforma Laboral dar seguimiento a los acuerdos que tome el CCIRSJL. Así como, atender los criterios que emita el Comité de Evaluación y transparentar, todos los recursos devengados que se requieran para la adecuación o adaptación de inmuebles destinados a los nuevos Tribunales Laborales Locales.</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III.5.</w:t>
      </w:r>
      <w:r w:rsidRPr="00480302">
        <w:rPr>
          <w:rFonts w:ascii="Arial" w:eastAsia="Times New Roman" w:hAnsi="Arial" w:cs="Arial"/>
          <w:color w:val="2F2F2F"/>
          <w:sz w:val="18"/>
          <w:szCs w:val="18"/>
          <w:lang w:eastAsia="es-MX"/>
        </w:rPr>
        <w:t> Se obligan al cumplimiento de los preceptos establecidos en los Lineamientos y las leyes aplicables en la materia.</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color w:val="2F2F2F"/>
          <w:sz w:val="18"/>
          <w:szCs w:val="18"/>
          <w:lang w:eastAsia="es-MX"/>
        </w:rPr>
        <w:t>Expuesto lo anterior, "LAS PARTES" sujetan su compromiso a la forma y términos que se establecen en las siguientes:</w:t>
      </w:r>
    </w:p>
    <w:p w:rsidR="00480302" w:rsidRPr="00480302" w:rsidRDefault="00480302" w:rsidP="0048030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80302">
        <w:rPr>
          <w:rFonts w:ascii="Times" w:eastAsia="Times New Roman" w:hAnsi="Times" w:cs="Times New Roman"/>
          <w:b/>
          <w:bCs/>
          <w:color w:val="2F2F2F"/>
          <w:sz w:val="18"/>
          <w:szCs w:val="18"/>
          <w:lang w:eastAsia="es-MX"/>
        </w:rPr>
        <w:t>CLÁUSULAS</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PRIMERA.</w:t>
      </w:r>
      <w:r w:rsidRPr="00480302">
        <w:rPr>
          <w:rFonts w:ascii="Arial" w:eastAsia="Times New Roman" w:hAnsi="Arial" w:cs="Arial"/>
          <w:color w:val="2F2F2F"/>
          <w:sz w:val="18"/>
          <w:szCs w:val="18"/>
          <w:lang w:eastAsia="es-MX"/>
        </w:rPr>
        <w:t> OBJETO. El presente Convenio de Coordinación tiene por objeto el otorgamiento de los recursos autorizados al Estado de Tabasco para la creación, fortalecimiento y/o mejora, a través de la creación de los Tribunales Laborales a cargo del Poder Judicial de la Entidad Federativa para la resolución de los conflictos entre trabajadores y patrones.</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SEGUNDA.</w:t>
      </w:r>
      <w:r w:rsidRPr="00480302">
        <w:rPr>
          <w:rFonts w:ascii="Arial" w:eastAsia="Times New Roman" w:hAnsi="Arial" w:cs="Arial"/>
          <w:color w:val="2F2F2F"/>
          <w:sz w:val="18"/>
          <w:szCs w:val="18"/>
          <w:lang w:eastAsia="es-MX"/>
        </w:rPr>
        <w:t> ASIGNACIÓN DE LOS RECURSOS. Para el cumplimiento del objeto señalado en la cláusula anterior, "LA SECRETARÍA" asignará la cantidad de $850,722.17 (Ochocientos cincuenta mil setecientos veintidós pesos 17/100 M.N.) correspondientes al recurso autorizado por el Comité de Evaluación de Proyectos, los cuales serán destinados para la creación, fortalecimiento y/o mejora de los Tribunales Laborales Locales.</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color w:val="2F2F2F"/>
          <w:sz w:val="18"/>
          <w:szCs w:val="18"/>
          <w:lang w:eastAsia="es-MX"/>
        </w:rPr>
        <w:t>La ejecución del Proyecto y el ejercicio de los recursos serán responsabilidad del Poder Judicial del Estado.</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color w:val="2F2F2F"/>
          <w:sz w:val="18"/>
          <w:szCs w:val="18"/>
          <w:lang w:eastAsia="es-MX"/>
        </w:rPr>
        <w:t xml:space="preserve">Los recursos federales se radicarán a "EL GOBIERNO DEL ESTADO", a través de su Secretaría de Finanzas, en la cuenta bancaria especifica que </w:t>
      </w:r>
      <w:proofErr w:type="spellStart"/>
      <w:r w:rsidRPr="00480302">
        <w:rPr>
          <w:rFonts w:ascii="Arial" w:eastAsia="Times New Roman" w:hAnsi="Arial" w:cs="Arial"/>
          <w:color w:val="2F2F2F"/>
          <w:sz w:val="18"/>
          <w:szCs w:val="18"/>
          <w:lang w:eastAsia="es-MX"/>
        </w:rPr>
        <w:t>aperturó</w:t>
      </w:r>
      <w:proofErr w:type="spellEnd"/>
      <w:r w:rsidRPr="00480302">
        <w:rPr>
          <w:rFonts w:ascii="Arial" w:eastAsia="Times New Roman" w:hAnsi="Arial" w:cs="Arial"/>
          <w:color w:val="2F2F2F"/>
          <w:sz w:val="18"/>
          <w:szCs w:val="18"/>
          <w:lang w:eastAsia="es-MX"/>
        </w:rPr>
        <w:t xml:space="preserve"> previamente en cumplimiento a lo que establece el numeral Vigésimo segundo, inciso a, de los Lineamientos, y con el artículo 69 de la Ley General de Contabilidad Gubernamental, y la que se identifica con los siguientes datos:</w:t>
      </w:r>
    </w:p>
    <w:tbl>
      <w:tblPr>
        <w:tblW w:w="0" w:type="auto"/>
        <w:tblCellMar>
          <w:top w:w="15" w:type="dxa"/>
          <w:left w:w="15" w:type="dxa"/>
          <w:bottom w:w="15" w:type="dxa"/>
          <w:right w:w="15" w:type="dxa"/>
        </w:tblCellMar>
        <w:tblLook w:val="04A0" w:firstRow="1" w:lastRow="0" w:firstColumn="1" w:lastColumn="0" w:noHBand="0" w:noVBand="1"/>
      </w:tblPr>
      <w:tblGrid>
        <w:gridCol w:w="2303"/>
        <w:gridCol w:w="6679"/>
      </w:tblGrid>
      <w:tr w:rsidR="00480302" w:rsidRPr="00480302" w:rsidTr="00480302">
        <w:trPr>
          <w:trHeight w:val="372"/>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80302" w:rsidRPr="00480302" w:rsidRDefault="00480302" w:rsidP="00480302">
            <w:pPr>
              <w:spacing w:after="101" w:line="240" w:lineRule="auto"/>
              <w:jc w:val="both"/>
              <w:rPr>
                <w:rFonts w:ascii="Times New Roman" w:eastAsia="Times New Roman" w:hAnsi="Times New Roman" w:cs="Times New Roman"/>
                <w:color w:val="000000"/>
                <w:sz w:val="18"/>
                <w:szCs w:val="18"/>
                <w:lang w:eastAsia="es-MX"/>
              </w:rPr>
            </w:pPr>
            <w:r w:rsidRPr="00480302">
              <w:rPr>
                <w:rFonts w:ascii="Arial" w:eastAsia="Times New Roman" w:hAnsi="Arial" w:cs="Arial"/>
                <w:color w:val="000000"/>
                <w:sz w:val="18"/>
                <w:szCs w:val="18"/>
                <w:lang w:eastAsia="es-MX"/>
              </w:rPr>
              <w:t>Número de Plaza:</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80302" w:rsidRPr="00480302" w:rsidRDefault="00480302" w:rsidP="00480302">
            <w:pPr>
              <w:spacing w:after="101" w:line="240" w:lineRule="auto"/>
              <w:jc w:val="both"/>
              <w:rPr>
                <w:rFonts w:ascii="Times New Roman" w:eastAsia="Times New Roman" w:hAnsi="Times New Roman" w:cs="Times New Roman"/>
                <w:color w:val="000000"/>
                <w:sz w:val="18"/>
                <w:szCs w:val="18"/>
                <w:lang w:eastAsia="es-MX"/>
              </w:rPr>
            </w:pPr>
            <w:r w:rsidRPr="00480302">
              <w:rPr>
                <w:rFonts w:ascii="Arial" w:eastAsia="Times New Roman" w:hAnsi="Arial" w:cs="Arial"/>
                <w:color w:val="000000"/>
                <w:sz w:val="18"/>
                <w:szCs w:val="18"/>
                <w:lang w:eastAsia="es-MX"/>
              </w:rPr>
              <w:t>0300</w:t>
            </w:r>
          </w:p>
        </w:tc>
      </w:tr>
      <w:tr w:rsidR="00480302" w:rsidRPr="00480302" w:rsidTr="00480302">
        <w:trPr>
          <w:trHeight w:val="357"/>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80302" w:rsidRPr="00480302" w:rsidRDefault="00480302" w:rsidP="00480302">
            <w:pPr>
              <w:spacing w:after="101" w:line="240" w:lineRule="auto"/>
              <w:jc w:val="both"/>
              <w:rPr>
                <w:rFonts w:ascii="Times New Roman" w:eastAsia="Times New Roman" w:hAnsi="Times New Roman" w:cs="Times New Roman"/>
                <w:color w:val="000000"/>
                <w:sz w:val="18"/>
                <w:szCs w:val="18"/>
                <w:lang w:eastAsia="es-MX"/>
              </w:rPr>
            </w:pPr>
            <w:r w:rsidRPr="00480302">
              <w:rPr>
                <w:rFonts w:ascii="Arial" w:eastAsia="Times New Roman" w:hAnsi="Arial" w:cs="Arial"/>
                <w:color w:val="000000"/>
                <w:sz w:val="18"/>
                <w:szCs w:val="18"/>
                <w:lang w:eastAsia="es-MX"/>
              </w:rPr>
              <w:t>Entidad bancaria:</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80302" w:rsidRPr="00480302" w:rsidRDefault="00480302" w:rsidP="00480302">
            <w:pPr>
              <w:spacing w:after="101" w:line="240" w:lineRule="auto"/>
              <w:jc w:val="both"/>
              <w:rPr>
                <w:rFonts w:ascii="Times New Roman" w:eastAsia="Times New Roman" w:hAnsi="Times New Roman" w:cs="Times New Roman"/>
                <w:color w:val="000000"/>
                <w:sz w:val="18"/>
                <w:szCs w:val="18"/>
                <w:lang w:eastAsia="es-MX"/>
              </w:rPr>
            </w:pPr>
            <w:r w:rsidRPr="00480302">
              <w:rPr>
                <w:rFonts w:ascii="Arial" w:eastAsia="Times New Roman" w:hAnsi="Arial" w:cs="Arial"/>
                <w:color w:val="000000"/>
                <w:sz w:val="18"/>
                <w:szCs w:val="18"/>
                <w:lang w:eastAsia="es-MX"/>
              </w:rPr>
              <w:t>Banco Santander México, S.A.</w:t>
            </w:r>
          </w:p>
        </w:tc>
      </w:tr>
      <w:tr w:rsidR="00480302" w:rsidRPr="00480302" w:rsidTr="00480302">
        <w:trPr>
          <w:trHeight w:val="357"/>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80302" w:rsidRPr="00480302" w:rsidRDefault="00480302" w:rsidP="00480302">
            <w:pPr>
              <w:spacing w:after="101" w:line="240" w:lineRule="auto"/>
              <w:jc w:val="both"/>
              <w:rPr>
                <w:rFonts w:ascii="Times New Roman" w:eastAsia="Times New Roman" w:hAnsi="Times New Roman" w:cs="Times New Roman"/>
                <w:color w:val="000000"/>
                <w:sz w:val="18"/>
                <w:szCs w:val="18"/>
                <w:lang w:eastAsia="es-MX"/>
              </w:rPr>
            </w:pPr>
            <w:r w:rsidRPr="00480302">
              <w:rPr>
                <w:rFonts w:ascii="Arial" w:eastAsia="Times New Roman" w:hAnsi="Arial" w:cs="Arial"/>
                <w:color w:val="000000"/>
                <w:sz w:val="18"/>
                <w:szCs w:val="18"/>
                <w:lang w:eastAsia="es-MX"/>
              </w:rPr>
              <w:t>Cuenta bancaria número:</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80302" w:rsidRPr="00480302" w:rsidRDefault="00480302" w:rsidP="00480302">
            <w:pPr>
              <w:spacing w:after="101" w:line="240" w:lineRule="auto"/>
              <w:jc w:val="both"/>
              <w:rPr>
                <w:rFonts w:ascii="Times New Roman" w:eastAsia="Times New Roman" w:hAnsi="Times New Roman" w:cs="Times New Roman"/>
                <w:color w:val="000000"/>
                <w:sz w:val="18"/>
                <w:szCs w:val="18"/>
                <w:lang w:eastAsia="es-MX"/>
              </w:rPr>
            </w:pPr>
            <w:r w:rsidRPr="00480302">
              <w:rPr>
                <w:rFonts w:ascii="Arial" w:eastAsia="Times New Roman" w:hAnsi="Arial" w:cs="Arial"/>
                <w:color w:val="000000"/>
                <w:sz w:val="18"/>
                <w:szCs w:val="18"/>
                <w:lang w:eastAsia="es-MX"/>
              </w:rPr>
              <w:t>18000266058</w:t>
            </w:r>
          </w:p>
        </w:tc>
      </w:tr>
      <w:tr w:rsidR="00480302" w:rsidRPr="00480302" w:rsidTr="00480302">
        <w:trPr>
          <w:trHeight w:val="357"/>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80302" w:rsidRPr="00480302" w:rsidRDefault="00480302" w:rsidP="00480302">
            <w:pPr>
              <w:spacing w:after="101" w:line="240" w:lineRule="auto"/>
              <w:jc w:val="both"/>
              <w:rPr>
                <w:rFonts w:ascii="Times New Roman" w:eastAsia="Times New Roman" w:hAnsi="Times New Roman" w:cs="Times New Roman"/>
                <w:color w:val="000000"/>
                <w:sz w:val="18"/>
                <w:szCs w:val="18"/>
                <w:lang w:eastAsia="es-MX"/>
              </w:rPr>
            </w:pPr>
            <w:r w:rsidRPr="00480302">
              <w:rPr>
                <w:rFonts w:ascii="Arial" w:eastAsia="Times New Roman" w:hAnsi="Arial" w:cs="Arial"/>
                <w:color w:val="000000"/>
                <w:sz w:val="18"/>
                <w:szCs w:val="18"/>
                <w:lang w:eastAsia="es-MX"/>
              </w:rPr>
              <w:t>CLABE:</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80302" w:rsidRPr="00480302" w:rsidRDefault="00480302" w:rsidP="00480302">
            <w:pPr>
              <w:spacing w:after="101" w:line="240" w:lineRule="auto"/>
              <w:jc w:val="both"/>
              <w:rPr>
                <w:rFonts w:ascii="Times New Roman" w:eastAsia="Times New Roman" w:hAnsi="Times New Roman" w:cs="Times New Roman"/>
                <w:color w:val="000000"/>
                <w:sz w:val="18"/>
                <w:szCs w:val="18"/>
                <w:lang w:eastAsia="es-MX"/>
              </w:rPr>
            </w:pPr>
            <w:r w:rsidRPr="00480302">
              <w:rPr>
                <w:rFonts w:ascii="Arial" w:eastAsia="Times New Roman" w:hAnsi="Arial" w:cs="Arial"/>
                <w:color w:val="000000"/>
                <w:sz w:val="18"/>
                <w:szCs w:val="18"/>
                <w:lang w:eastAsia="es-MX"/>
              </w:rPr>
              <w:t>014790180002660583</w:t>
            </w:r>
          </w:p>
        </w:tc>
      </w:tr>
      <w:tr w:rsidR="00480302" w:rsidRPr="00480302" w:rsidTr="00480302">
        <w:trPr>
          <w:trHeight w:val="357"/>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80302" w:rsidRPr="00480302" w:rsidRDefault="00480302" w:rsidP="00480302">
            <w:pPr>
              <w:spacing w:after="101" w:line="240" w:lineRule="auto"/>
              <w:jc w:val="both"/>
              <w:rPr>
                <w:rFonts w:ascii="Times New Roman" w:eastAsia="Times New Roman" w:hAnsi="Times New Roman" w:cs="Times New Roman"/>
                <w:color w:val="000000"/>
                <w:sz w:val="18"/>
                <w:szCs w:val="18"/>
                <w:lang w:eastAsia="es-MX"/>
              </w:rPr>
            </w:pPr>
            <w:r w:rsidRPr="00480302">
              <w:rPr>
                <w:rFonts w:ascii="Arial" w:eastAsia="Times New Roman" w:hAnsi="Arial" w:cs="Arial"/>
                <w:color w:val="000000"/>
                <w:sz w:val="18"/>
                <w:szCs w:val="18"/>
                <w:lang w:eastAsia="es-MX"/>
              </w:rPr>
              <w:t>RFC:</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80302" w:rsidRPr="00480302" w:rsidRDefault="00480302" w:rsidP="00480302">
            <w:pPr>
              <w:spacing w:after="101" w:line="240" w:lineRule="auto"/>
              <w:jc w:val="both"/>
              <w:rPr>
                <w:rFonts w:ascii="Times New Roman" w:eastAsia="Times New Roman" w:hAnsi="Times New Roman" w:cs="Times New Roman"/>
                <w:color w:val="000000"/>
                <w:sz w:val="18"/>
                <w:szCs w:val="18"/>
                <w:lang w:eastAsia="es-MX"/>
              </w:rPr>
            </w:pPr>
            <w:r w:rsidRPr="00480302">
              <w:rPr>
                <w:rFonts w:ascii="Arial" w:eastAsia="Times New Roman" w:hAnsi="Arial" w:cs="Arial"/>
                <w:color w:val="000000"/>
                <w:sz w:val="18"/>
                <w:szCs w:val="18"/>
                <w:lang w:eastAsia="es-MX"/>
              </w:rPr>
              <w:t>GET710101FW1</w:t>
            </w:r>
          </w:p>
        </w:tc>
      </w:tr>
      <w:tr w:rsidR="00480302" w:rsidRPr="00480302" w:rsidTr="00480302">
        <w:trPr>
          <w:trHeight w:val="613"/>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80302" w:rsidRPr="00480302" w:rsidRDefault="00480302" w:rsidP="00480302">
            <w:pPr>
              <w:spacing w:after="101" w:line="240" w:lineRule="auto"/>
              <w:jc w:val="both"/>
              <w:rPr>
                <w:rFonts w:ascii="Times New Roman" w:eastAsia="Times New Roman" w:hAnsi="Times New Roman" w:cs="Times New Roman"/>
                <w:color w:val="000000"/>
                <w:sz w:val="18"/>
                <w:szCs w:val="18"/>
                <w:lang w:eastAsia="es-MX"/>
              </w:rPr>
            </w:pPr>
            <w:r w:rsidRPr="00480302">
              <w:rPr>
                <w:rFonts w:ascii="Arial" w:eastAsia="Times New Roman" w:hAnsi="Arial" w:cs="Arial"/>
                <w:color w:val="000000"/>
                <w:sz w:val="18"/>
                <w:szCs w:val="18"/>
                <w:lang w:eastAsia="es-MX"/>
              </w:rPr>
              <w:t>Domicilio fiscal:</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80302" w:rsidRPr="00480302" w:rsidRDefault="00480302" w:rsidP="00480302">
            <w:pPr>
              <w:spacing w:after="101" w:line="240" w:lineRule="auto"/>
              <w:jc w:val="both"/>
              <w:rPr>
                <w:rFonts w:ascii="Times New Roman" w:eastAsia="Times New Roman" w:hAnsi="Times New Roman" w:cs="Times New Roman"/>
                <w:color w:val="000000"/>
                <w:sz w:val="18"/>
                <w:szCs w:val="18"/>
                <w:lang w:eastAsia="es-MX"/>
              </w:rPr>
            </w:pPr>
            <w:r w:rsidRPr="00480302">
              <w:rPr>
                <w:rFonts w:ascii="Arial" w:eastAsia="Times New Roman" w:hAnsi="Arial" w:cs="Arial"/>
                <w:color w:val="000000"/>
                <w:sz w:val="18"/>
                <w:szCs w:val="18"/>
                <w:lang w:eastAsia="es-MX"/>
              </w:rPr>
              <w:t>Calle P de la Sierra No. 435, Colonia Reforma, Villahermosa, Tabasco. C.P: 86080</w:t>
            </w:r>
          </w:p>
        </w:tc>
      </w:tr>
      <w:tr w:rsidR="00480302" w:rsidRPr="00480302" w:rsidTr="00480302">
        <w:trPr>
          <w:trHeight w:val="884"/>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80302" w:rsidRPr="00480302" w:rsidRDefault="00480302" w:rsidP="00480302">
            <w:pPr>
              <w:spacing w:after="101" w:line="240" w:lineRule="auto"/>
              <w:jc w:val="both"/>
              <w:rPr>
                <w:rFonts w:ascii="Times New Roman" w:eastAsia="Times New Roman" w:hAnsi="Times New Roman" w:cs="Times New Roman"/>
                <w:color w:val="000000"/>
                <w:sz w:val="18"/>
                <w:szCs w:val="18"/>
                <w:lang w:eastAsia="es-MX"/>
              </w:rPr>
            </w:pPr>
            <w:r w:rsidRPr="00480302">
              <w:rPr>
                <w:rFonts w:ascii="Arial" w:eastAsia="Times New Roman" w:hAnsi="Arial" w:cs="Arial"/>
                <w:color w:val="000000"/>
                <w:sz w:val="18"/>
                <w:szCs w:val="18"/>
                <w:lang w:eastAsia="es-MX"/>
              </w:rPr>
              <w:lastRenderedPageBreak/>
              <w:t>Nombre del Proyecto:</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80302" w:rsidRPr="00480302" w:rsidRDefault="00480302" w:rsidP="00480302">
            <w:pPr>
              <w:spacing w:after="101" w:line="240" w:lineRule="auto"/>
              <w:jc w:val="both"/>
              <w:rPr>
                <w:rFonts w:ascii="Times New Roman" w:eastAsia="Times New Roman" w:hAnsi="Times New Roman" w:cs="Times New Roman"/>
                <w:color w:val="000000"/>
                <w:sz w:val="18"/>
                <w:szCs w:val="18"/>
                <w:lang w:eastAsia="es-MX"/>
              </w:rPr>
            </w:pPr>
            <w:r w:rsidRPr="00480302">
              <w:rPr>
                <w:rFonts w:ascii="Arial" w:eastAsia="Times New Roman" w:hAnsi="Arial" w:cs="Arial"/>
                <w:color w:val="000000"/>
                <w:sz w:val="18"/>
                <w:szCs w:val="18"/>
                <w:lang w:eastAsia="es-MX"/>
              </w:rPr>
              <w:t>"Proyecto para el fortalecimiento tecnológico de los Tribunales Laborales de la región 1 con sede en el municipio de Centro del Poder Judicial del Estado de Tabasco"</w:t>
            </w:r>
          </w:p>
        </w:tc>
      </w:tr>
    </w:tbl>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color w:val="2F2F2F"/>
          <w:sz w:val="18"/>
          <w:szCs w:val="18"/>
          <w:lang w:eastAsia="es-MX"/>
        </w:rPr>
        <w:t> </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color w:val="2F2F2F"/>
          <w:sz w:val="18"/>
          <w:szCs w:val="18"/>
          <w:lang w:eastAsia="es-MX"/>
        </w:rPr>
        <w:t xml:space="preserve">Asimismo, conforme a lo que dispone el numeral Tercero de los Lineamientos, el Poder Judicial será beneficiario de los recursos otorgados. Por lo anterior, la Secretaría de Finanzas del Poder Ejecutivo del Estado de Tabasco, se compromete a transferir en un plazo no mayor a diez días hábiles contados a partir de la ministración del recurso por parte de "LA SECRETARÍA", al Poder Judicial del estado la cantidad requerida, en la cuenta </w:t>
      </w:r>
      <w:proofErr w:type="spellStart"/>
      <w:r w:rsidRPr="00480302">
        <w:rPr>
          <w:rFonts w:ascii="Arial" w:eastAsia="Times New Roman" w:hAnsi="Arial" w:cs="Arial"/>
          <w:color w:val="2F2F2F"/>
          <w:sz w:val="18"/>
          <w:szCs w:val="18"/>
          <w:lang w:eastAsia="es-MX"/>
        </w:rPr>
        <w:t>aperturada</w:t>
      </w:r>
      <w:proofErr w:type="spellEnd"/>
      <w:r w:rsidRPr="00480302">
        <w:rPr>
          <w:rFonts w:ascii="Arial" w:eastAsia="Times New Roman" w:hAnsi="Arial" w:cs="Arial"/>
          <w:color w:val="2F2F2F"/>
          <w:sz w:val="18"/>
          <w:szCs w:val="18"/>
          <w:lang w:eastAsia="es-MX"/>
        </w:rPr>
        <w:t xml:space="preserve"> conforme a lo que establece el numeral Vigésimo segundo, inciso b, y que se identifican con los siguientes datos:</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color w:val="2F2F2F"/>
          <w:sz w:val="18"/>
          <w:szCs w:val="18"/>
          <w:lang w:eastAsia="es-MX"/>
        </w:rPr>
        <w:t>Para el proyecto de los Tribunales Laborales:</w:t>
      </w:r>
    </w:p>
    <w:tbl>
      <w:tblPr>
        <w:tblW w:w="0" w:type="auto"/>
        <w:tblCellMar>
          <w:top w:w="15" w:type="dxa"/>
          <w:left w:w="15" w:type="dxa"/>
          <w:bottom w:w="15" w:type="dxa"/>
          <w:right w:w="15" w:type="dxa"/>
        </w:tblCellMar>
        <w:tblLook w:val="04A0" w:firstRow="1" w:lastRow="0" w:firstColumn="1" w:lastColumn="0" w:noHBand="0" w:noVBand="1"/>
      </w:tblPr>
      <w:tblGrid>
        <w:gridCol w:w="2303"/>
        <w:gridCol w:w="6679"/>
      </w:tblGrid>
      <w:tr w:rsidR="00480302" w:rsidRPr="00480302" w:rsidTr="00480302">
        <w:trPr>
          <w:trHeight w:val="372"/>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80302" w:rsidRPr="00480302" w:rsidRDefault="00480302" w:rsidP="00480302">
            <w:pPr>
              <w:spacing w:after="101" w:line="240" w:lineRule="auto"/>
              <w:jc w:val="both"/>
              <w:rPr>
                <w:rFonts w:ascii="Times New Roman" w:eastAsia="Times New Roman" w:hAnsi="Times New Roman" w:cs="Times New Roman"/>
                <w:color w:val="000000"/>
                <w:sz w:val="18"/>
                <w:szCs w:val="18"/>
                <w:lang w:eastAsia="es-MX"/>
              </w:rPr>
            </w:pPr>
            <w:r w:rsidRPr="00480302">
              <w:rPr>
                <w:rFonts w:ascii="Arial" w:eastAsia="Times New Roman" w:hAnsi="Arial" w:cs="Arial"/>
                <w:color w:val="000000"/>
                <w:sz w:val="18"/>
                <w:szCs w:val="18"/>
                <w:lang w:eastAsia="es-MX"/>
              </w:rPr>
              <w:t>Número de Plaza:</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80302" w:rsidRPr="00480302" w:rsidRDefault="00480302" w:rsidP="00480302">
            <w:pPr>
              <w:spacing w:after="101" w:line="240" w:lineRule="auto"/>
              <w:jc w:val="both"/>
              <w:rPr>
                <w:rFonts w:ascii="Times New Roman" w:eastAsia="Times New Roman" w:hAnsi="Times New Roman" w:cs="Times New Roman"/>
                <w:color w:val="000000"/>
                <w:sz w:val="18"/>
                <w:szCs w:val="18"/>
                <w:lang w:eastAsia="es-MX"/>
              </w:rPr>
            </w:pPr>
            <w:r w:rsidRPr="00480302">
              <w:rPr>
                <w:rFonts w:ascii="Arial" w:eastAsia="Times New Roman" w:hAnsi="Arial" w:cs="Arial"/>
                <w:color w:val="000000"/>
                <w:sz w:val="18"/>
                <w:szCs w:val="18"/>
                <w:lang w:eastAsia="es-MX"/>
              </w:rPr>
              <w:t>0300</w:t>
            </w:r>
          </w:p>
        </w:tc>
      </w:tr>
      <w:tr w:rsidR="00480302" w:rsidRPr="00480302" w:rsidTr="00480302">
        <w:trPr>
          <w:trHeight w:val="357"/>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80302" w:rsidRPr="00480302" w:rsidRDefault="00480302" w:rsidP="00480302">
            <w:pPr>
              <w:spacing w:after="101" w:line="240" w:lineRule="auto"/>
              <w:jc w:val="both"/>
              <w:rPr>
                <w:rFonts w:ascii="Times New Roman" w:eastAsia="Times New Roman" w:hAnsi="Times New Roman" w:cs="Times New Roman"/>
                <w:color w:val="000000"/>
                <w:sz w:val="18"/>
                <w:szCs w:val="18"/>
                <w:lang w:eastAsia="es-MX"/>
              </w:rPr>
            </w:pPr>
            <w:r w:rsidRPr="00480302">
              <w:rPr>
                <w:rFonts w:ascii="Arial" w:eastAsia="Times New Roman" w:hAnsi="Arial" w:cs="Arial"/>
                <w:color w:val="000000"/>
                <w:sz w:val="18"/>
                <w:szCs w:val="18"/>
                <w:lang w:eastAsia="es-MX"/>
              </w:rPr>
              <w:t>Entidad bancaria:</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80302" w:rsidRPr="00480302" w:rsidRDefault="00480302" w:rsidP="00480302">
            <w:pPr>
              <w:spacing w:after="101" w:line="240" w:lineRule="auto"/>
              <w:jc w:val="both"/>
              <w:rPr>
                <w:rFonts w:ascii="Times New Roman" w:eastAsia="Times New Roman" w:hAnsi="Times New Roman" w:cs="Times New Roman"/>
                <w:color w:val="000000"/>
                <w:sz w:val="18"/>
                <w:szCs w:val="18"/>
                <w:lang w:eastAsia="es-MX"/>
              </w:rPr>
            </w:pPr>
            <w:r w:rsidRPr="00480302">
              <w:rPr>
                <w:rFonts w:ascii="Arial" w:eastAsia="Times New Roman" w:hAnsi="Arial" w:cs="Arial"/>
                <w:color w:val="000000"/>
                <w:sz w:val="18"/>
                <w:szCs w:val="18"/>
                <w:lang w:eastAsia="es-MX"/>
              </w:rPr>
              <w:t>Banco Santander México, S.A.</w:t>
            </w:r>
          </w:p>
        </w:tc>
      </w:tr>
      <w:tr w:rsidR="00480302" w:rsidRPr="00480302" w:rsidTr="00480302">
        <w:trPr>
          <w:trHeight w:val="357"/>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80302" w:rsidRPr="00480302" w:rsidRDefault="00480302" w:rsidP="00480302">
            <w:pPr>
              <w:spacing w:after="101" w:line="240" w:lineRule="auto"/>
              <w:jc w:val="both"/>
              <w:rPr>
                <w:rFonts w:ascii="Times New Roman" w:eastAsia="Times New Roman" w:hAnsi="Times New Roman" w:cs="Times New Roman"/>
                <w:color w:val="000000"/>
                <w:sz w:val="18"/>
                <w:szCs w:val="18"/>
                <w:lang w:eastAsia="es-MX"/>
              </w:rPr>
            </w:pPr>
            <w:r w:rsidRPr="00480302">
              <w:rPr>
                <w:rFonts w:ascii="Arial" w:eastAsia="Times New Roman" w:hAnsi="Arial" w:cs="Arial"/>
                <w:color w:val="000000"/>
                <w:sz w:val="18"/>
                <w:szCs w:val="18"/>
                <w:lang w:eastAsia="es-MX"/>
              </w:rPr>
              <w:t>Cuenta bancaria número:</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80302" w:rsidRPr="00480302" w:rsidRDefault="00480302" w:rsidP="00480302">
            <w:pPr>
              <w:spacing w:after="101" w:line="240" w:lineRule="auto"/>
              <w:jc w:val="both"/>
              <w:rPr>
                <w:rFonts w:ascii="Times New Roman" w:eastAsia="Times New Roman" w:hAnsi="Times New Roman" w:cs="Times New Roman"/>
                <w:color w:val="000000"/>
                <w:sz w:val="18"/>
                <w:szCs w:val="18"/>
                <w:lang w:eastAsia="es-MX"/>
              </w:rPr>
            </w:pPr>
            <w:r w:rsidRPr="00480302">
              <w:rPr>
                <w:rFonts w:ascii="Arial" w:eastAsia="Times New Roman" w:hAnsi="Arial" w:cs="Arial"/>
                <w:color w:val="000000"/>
                <w:sz w:val="18"/>
                <w:szCs w:val="18"/>
                <w:lang w:eastAsia="es-MX"/>
              </w:rPr>
              <w:t>18000265754</w:t>
            </w:r>
          </w:p>
        </w:tc>
      </w:tr>
      <w:tr w:rsidR="00480302" w:rsidRPr="00480302" w:rsidTr="00480302">
        <w:trPr>
          <w:trHeight w:val="357"/>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80302" w:rsidRPr="00480302" w:rsidRDefault="00480302" w:rsidP="00480302">
            <w:pPr>
              <w:spacing w:after="101" w:line="240" w:lineRule="auto"/>
              <w:jc w:val="both"/>
              <w:rPr>
                <w:rFonts w:ascii="Times New Roman" w:eastAsia="Times New Roman" w:hAnsi="Times New Roman" w:cs="Times New Roman"/>
                <w:color w:val="000000"/>
                <w:sz w:val="18"/>
                <w:szCs w:val="18"/>
                <w:lang w:eastAsia="es-MX"/>
              </w:rPr>
            </w:pPr>
            <w:r w:rsidRPr="00480302">
              <w:rPr>
                <w:rFonts w:ascii="Arial" w:eastAsia="Times New Roman" w:hAnsi="Arial" w:cs="Arial"/>
                <w:color w:val="000000"/>
                <w:sz w:val="18"/>
                <w:szCs w:val="18"/>
                <w:lang w:eastAsia="es-MX"/>
              </w:rPr>
              <w:t>CLABE:</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80302" w:rsidRPr="00480302" w:rsidRDefault="00480302" w:rsidP="00480302">
            <w:pPr>
              <w:spacing w:after="101" w:line="240" w:lineRule="auto"/>
              <w:jc w:val="both"/>
              <w:rPr>
                <w:rFonts w:ascii="Times New Roman" w:eastAsia="Times New Roman" w:hAnsi="Times New Roman" w:cs="Times New Roman"/>
                <w:color w:val="000000"/>
                <w:sz w:val="18"/>
                <w:szCs w:val="18"/>
                <w:lang w:eastAsia="es-MX"/>
              </w:rPr>
            </w:pPr>
            <w:r w:rsidRPr="00480302">
              <w:rPr>
                <w:rFonts w:ascii="Arial" w:eastAsia="Times New Roman" w:hAnsi="Arial" w:cs="Arial"/>
                <w:color w:val="000000"/>
                <w:sz w:val="18"/>
                <w:szCs w:val="18"/>
                <w:lang w:eastAsia="es-MX"/>
              </w:rPr>
              <w:t>014790180002657541</w:t>
            </w:r>
          </w:p>
        </w:tc>
      </w:tr>
      <w:tr w:rsidR="00480302" w:rsidRPr="00480302" w:rsidTr="00480302">
        <w:trPr>
          <w:trHeight w:val="357"/>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80302" w:rsidRPr="00480302" w:rsidRDefault="00480302" w:rsidP="00480302">
            <w:pPr>
              <w:spacing w:after="101" w:line="240" w:lineRule="auto"/>
              <w:jc w:val="both"/>
              <w:rPr>
                <w:rFonts w:ascii="Times New Roman" w:eastAsia="Times New Roman" w:hAnsi="Times New Roman" w:cs="Times New Roman"/>
                <w:color w:val="000000"/>
                <w:sz w:val="18"/>
                <w:szCs w:val="18"/>
                <w:lang w:eastAsia="es-MX"/>
              </w:rPr>
            </w:pPr>
            <w:r w:rsidRPr="00480302">
              <w:rPr>
                <w:rFonts w:ascii="Arial" w:eastAsia="Times New Roman" w:hAnsi="Arial" w:cs="Arial"/>
                <w:color w:val="000000"/>
                <w:sz w:val="18"/>
                <w:szCs w:val="18"/>
                <w:lang w:eastAsia="es-MX"/>
              </w:rPr>
              <w:t>RFC:</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80302" w:rsidRPr="00480302" w:rsidRDefault="00480302" w:rsidP="00480302">
            <w:pPr>
              <w:spacing w:after="101" w:line="240" w:lineRule="auto"/>
              <w:jc w:val="both"/>
              <w:rPr>
                <w:rFonts w:ascii="Times New Roman" w:eastAsia="Times New Roman" w:hAnsi="Times New Roman" w:cs="Times New Roman"/>
                <w:color w:val="000000"/>
                <w:sz w:val="18"/>
                <w:szCs w:val="18"/>
                <w:lang w:eastAsia="es-MX"/>
              </w:rPr>
            </w:pPr>
            <w:r w:rsidRPr="00480302">
              <w:rPr>
                <w:rFonts w:ascii="Arial" w:eastAsia="Times New Roman" w:hAnsi="Arial" w:cs="Arial"/>
                <w:color w:val="000000"/>
                <w:sz w:val="18"/>
                <w:szCs w:val="18"/>
                <w:lang w:eastAsia="es-MX"/>
              </w:rPr>
              <w:t>TSJ250202PH0</w:t>
            </w:r>
          </w:p>
        </w:tc>
      </w:tr>
      <w:tr w:rsidR="00480302" w:rsidRPr="00480302" w:rsidTr="00480302">
        <w:trPr>
          <w:trHeight w:val="613"/>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80302" w:rsidRPr="00480302" w:rsidRDefault="00480302" w:rsidP="00480302">
            <w:pPr>
              <w:spacing w:after="101" w:line="240" w:lineRule="auto"/>
              <w:jc w:val="both"/>
              <w:rPr>
                <w:rFonts w:ascii="Times New Roman" w:eastAsia="Times New Roman" w:hAnsi="Times New Roman" w:cs="Times New Roman"/>
                <w:color w:val="000000"/>
                <w:sz w:val="18"/>
                <w:szCs w:val="18"/>
                <w:lang w:eastAsia="es-MX"/>
              </w:rPr>
            </w:pPr>
            <w:r w:rsidRPr="00480302">
              <w:rPr>
                <w:rFonts w:ascii="Arial" w:eastAsia="Times New Roman" w:hAnsi="Arial" w:cs="Arial"/>
                <w:color w:val="000000"/>
                <w:sz w:val="18"/>
                <w:szCs w:val="18"/>
                <w:lang w:eastAsia="es-MX"/>
              </w:rPr>
              <w:t>Domicilio fiscal:</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80302" w:rsidRPr="00480302" w:rsidRDefault="00480302" w:rsidP="00480302">
            <w:pPr>
              <w:spacing w:after="101" w:line="240" w:lineRule="auto"/>
              <w:jc w:val="both"/>
              <w:rPr>
                <w:rFonts w:ascii="Times New Roman" w:eastAsia="Times New Roman" w:hAnsi="Times New Roman" w:cs="Times New Roman"/>
                <w:color w:val="000000"/>
                <w:sz w:val="18"/>
                <w:szCs w:val="18"/>
                <w:lang w:eastAsia="es-MX"/>
              </w:rPr>
            </w:pPr>
            <w:r w:rsidRPr="00480302">
              <w:rPr>
                <w:rFonts w:ascii="Arial" w:eastAsia="Times New Roman" w:hAnsi="Arial" w:cs="Arial"/>
                <w:color w:val="000000"/>
                <w:sz w:val="18"/>
                <w:szCs w:val="18"/>
                <w:lang w:eastAsia="es-MX"/>
              </w:rPr>
              <w:t xml:space="preserve">Calle Independencia s/n Esq. </w:t>
            </w:r>
            <w:proofErr w:type="spellStart"/>
            <w:r w:rsidRPr="00480302">
              <w:rPr>
                <w:rFonts w:ascii="Arial" w:eastAsia="Times New Roman" w:hAnsi="Arial" w:cs="Arial"/>
                <w:color w:val="000000"/>
                <w:sz w:val="18"/>
                <w:szCs w:val="18"/>
                <w:lang w:eastAsia="es-MX"/>
              </w:rPr>
              <w:t>Nicolas</w:t>
            </w:r>
            <w:proofErr w:type="spellEnd"/>
            <w:r w:rsidRPr="00480302">
              <w:rPr>
                <w:rFonts w:ascii="Arial" w:eastAsia="Times New Roman" w:hAnsi="Arial" w:cs="Arial"/>
                <w:color w:val="000000"/>
                <w:sz w:val="18"/>
                <w:szCs w:val="18"/>
                <w:lang w:eastAsia="es-MX"/>
              </w:rPr>
              <w:t xml:space="preserve"> Bravo, Colonia Centro, Villahermosa, Tabasco. C.P. 86000.</w:t>
            </w:r>
          </w:p>
        </w:tc>
      </w:tr>
      <w:tr w:rsidR="00480302" w:rsidRPr="00480302" w:rsidTr="00480302">
        <w:trPr>
          <w:trHeight w:val="884"/>
        </w:trPr>
        <w:tc>
          <w:tcPr>
            <w:tcW w:w="23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80302" w:rsidRPr="00480302" w:rsidRDefault="00480302" w:rsidP="00480302">
            <w:pPr>
              <w:spacing w:after="101" w:line="240" w:lineRule="auto"/>
              <w:jc w:val="both"/>
              <w:rPr>
                <w:rFonts w:ascii="Times New Roman" w:eastAsia="Times New Roman" w:hAnsi="Times New Roman" w:cs="Times New Roman"/>
                <w:color w:val="000000"/>
                <w:sz w:val="18"/>
                <w:szCs w:val="18"/>
                <w:lang w:eastAsia="es-MX"/>
              </w:rPr>
            </w:pPr>
            <w:r w:rsidRPr="00480302">
              <w:rPr>
                <w:rFonts w:ascii="Arial" w:eastAsia="Times New Roman" w:hAnsi="Arial" w:cs="Arial"/>
                <w:color w:val="000000"/>
                <w:sz w:val="18"/>
                <w:szCs w:val="18"/>
                <w:lang w:eastAsia="es-MX"/>
              </w:rPr>
              <w:t>Nombre del Proyecto:</w:t>
            </w:r>
          </w:p>
        </w:tc>
        <w:tc>
          <w:tcPr>
            <w:tcW w:w="6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80302" w:rsidRPr="00480302" w:rsidRDefault="00480302" w:rsidP="00480302">
            <w:pPr>
              <w:spacing w:after="101" w:line="240" w:lineRule="auto"/>
              <w:jc w:val="both"/>
              <w:rPr>
                <w:rFonts w:ascii="Times New Roman" w:eastAsia="Times New Roman" w:hAnsi="Times New Roman" w:cs="Times New Roman"/>
                <w:color w:val="000000"/>
                <w:sz w:val="18"/>
                <w:szCs w:val="18"/>
                <w:lang w:eastAsia="es-MX"/>
              </w:rPr>
            </w:pPr>
            <w:r w:rsidRPr="00480302">
              <w:rPr>
                <w:rFonts w:ascii="Arial" w:eastAsia="Times New Roman" w:hAnsi="Arial" w:cs="Arial"/>
                <w:color w:val="000000"/>
                <w:sz w:val="18"/>
                <w:szCs w:val="18"/>
                <w:lang w:eastAsia="es-MX"/>
              </w:rPr>
              <w:t>"Proyecto para el fortalecimiento tecnológico de los Tribunales Laborales de la región 1 con sede en el municipio de Centro del Poder Judicial del Estado de Tabasco"</w:t>
            </w:r>
          </w:p>
        </w:tc>
      </w:tr>
    </w:tbl>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color w:val="2F2F2F"/>
          <w:sz w:val="18"/>
          <w:szCs w:val="18"/>
          <w:lang w:eastAsia="es-MX"/>
        </w:rPr>
        <w:t> </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color w:val="2F2F2F"/>
          <w:sz w:val="18"/>
          <w:szCs w:val="18"/>
          <w:lang w:eastAsia="es-MX"/>
        </w:rPr>
        <w:t>Es un requisito indispensable que "EL GOBIERNO DEL ESTADO" remita, a través de su Secretaría de Finanzas, a "LA SECRETARÍA" la solicitud de transferencia de recursos con los requisitos señalados en el numeral Vigésimo quinto, de los Lineamientos.</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color w:val="2F2F2F"/>
          <w:sz w:val="18"/>
          <w:szCs w:val="18"/>
          <w:lang w:eastAsia="es-MX"/>
        </w:rPr>
        <w:t>Posteriormente, dentro de los diez días naturales siguientes a la transferencia de los recursos "EL GOBIERNO DEL ESTADO" deberá emitir el recibo electrónico correspondiente por el monto depositado, mismo que deberá estar validado por el Secretario de Finanzas, cumplir con los requisitos establecidos en el artículo 29-A del Código Fiscal de la Federación y enviarlo a "LA SECRETARÍA" vía correo electrónico a la dirección reforma.laboral@stps.gob.mx, así como adjuntarlo en la Plataforma.</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color w:val="2F2F2F"/>
          <w:sz w:val="18"/>
          <w:szCs w:val="18"/>
          <w:lang w:eastAsia="es-MX"/>
        </w:rPr>
        <w:t>Para "LA SECRETARÍA", la radicación de los recursos federales genera los momentos contables del gasto devengado, ejercido y pagado, en términos del artículo 4, fracciones XIV, XV, XVI y XVII de la Ley General de Contabilidad Gubernamental.</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color w:val="2F2F2F"/>
          <w:sz w:val="18"/>
          <w:szCs w:val="18"/>
          <w:lang w:eastAsia="es-MX"/>
        </w:rPr>
        <w:t>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color w:val="2F2F2F"/>
          <w:sz w:val="18"/>
          <w:szCs w:val="18"/>
          <w:lang w:eastAsia="es-MX"/>
        </w:rPr>
        <w:t>Los recursos asignados a la Entidad Federativa se encuentran sujetos a la disponibilidad de estos en términos del Presupuesto de Egresos de la Federación 2023,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color w:val="2F2F2F"/>
          <w:sz w:val="18"/>
          <w:szCs w:val="18"/>
          <w:lang w:eastAsia="es-MX"/>
        </w:rPr>
        <w:t>"LA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color w:val="2F2F2F"/>
          <w:sz w:val="18"/>
          <w:szCs w:val="18"/>
          <w:lang w:eastAsia="es-MX"/>
        </w:rPr>
        <w:t xml:space="preserve">Además, de conformidad con el artículo 67 de la Ley General de Contabilidad Gubernamental, "EL GOBIERNO DEL ESTADO" deberá registrar en los sistemas respectivos, los documentos </w:t>
      </w:r>
      <w:r w:rsidRPr="00480302">
        <w:rPr>
          <w:rFonts w:ascii="Arial" w:eastAsia="Times New Roman" w:hAnsi="Arial" w:cs="Arial"/>
          <w:color w:val="2F2F2F"/>
          <w:sz w:val="18"/>
          <w:szCs w:val="18"/>
          <w:lang w:eastAsia="es-MX"/>
        </w:rPr>
        <w:lastRenderedPageBreak/>
        <w:t>justificativos y comprobatorios que correspondan y demás información asociada a los momentos contables del gasto comprometido y devengado.</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TERCERA.</w:t>
      </w:r>
      <w:r w:rsidRPr="00480302">
        <w:rPr>
          <w:rFonts w:ascii="Arial" w:eastAsia="Times New Roman" w:hAnsi="Arial" w:cs="Arial"/>
          <w:color w:val="2F2F2F"/>
          <w:sz w:val="18"/>
          <w:szCs w:val="18"/>
          <w:lang w:eastAsia="es-MX"/>
        </w:rPr>
        <w:t> COMPROMISO DE "LAS PARTES". Además de lo previsto en los Lineamientos, para la realización del objeto del presente Convenio, "LAS PARTES" se comprometen a lo siguiente:</w:t>
      </w:r>
    </w:p>
    <w:p w:rsidR="00480302" w:rsidRPr="00480302" w:rsidRDefault="00480302" w:rsidP="00480302">
      <w:pPr>
        <w:shd w:val="clear" w:color="auto" w:fill="FFFFFF"/>
        <w:spacing w:after="101" w:line="240" w:lineRule="auto"/>
        <w:ind w:hanging="432"/>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a.</w:t>
      </w:r>
      <w:r w:rsidRPr="00480302">
        <w:rPr>
          <w:rFonts w:ascii="Arial" w:eastAsia="Times New Roman" w:hAnsi="Arial" w:cs="Arial"/>
          <w:color w:val="2F2F2F"/>
          <w:sz w:val="20"/>
          <w:szCs w:val="20"/>
          <w:lang w:eastAsia="es-MX"/>
        </w:rPr>
        <w:t>     </w:t>
      </w:r>
      <w:r w:rsidRPr="00480302">
        <w:rPr>
          <w:rFonts w:ascii="Arial" w:eastAsia="Times New Roman" w:hAnsi="Arial" w:cs="Arial"/>
          <w:color w:val="2F2F2F"/>
          <w:sz w:val="18"/>
          <w:szCs w:val="18"/>
          <w:lang w:eastAsia="es-MX"/>
        </w:rPr>
        <w:t>Otorgar todas las facilidades para la rendición de cuentas, respecto a la utilización de los recursos aportados por el Gobierno Federal, así como de la planeación, asistencia técnica y, en su caso, los recursos aportados por el Gobierno Estatal.</w:t>
      </w:r>
    </w:p>
    <w:p w:rsidR="00480302" w:rsidRPr="00480302" w:rsidRDefault="00480302" w:rsidP="00480302">
      <w:pPr>
        <w:shd w:val="clear" w:color="auto" w:fill="FFFFFF"/>
        <w:spacing w:after="101" w:line="240" w:lineRule="auto"/>
        <w:ind w:hanging="432"/>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b.</w:t>
      </w:r>
      <w:r w:rsidRPr="00480302">
        <w:rPr>
          <w:rFonts w:ascii="Arial" w:eastAsia="Times New Roman" w:hAnsi="Arial" w:cs="Arial"/>
          <w:color w:val="2F2F2F"/>
          <w:sz w:val="20"/>
          <w:szCs w:val="20"/>
          <w:lang w:eastAsia="es-MX"/>
        </w:rPr>
        <w:t>    </w:t>
      </w:r>
      <w:r w:rsidRPr="00480302">
        <w:rPr>
          <w:rFonts w:ascii="Arial" w:eastAsia="Times New Roman" w:hAnsi="Arial" w:cs="Arial"/>
          <w:color w:val="2F2F2F"/>
          <w:sz w:val="18"/>
          <w:szCs w:val="18"/>
          <w:lang w:eastAsia="es-MX"/>
        </w:rPr>
        <w:t>Apegarse a lo establecido en la LFPRH, su Reglamento y demás legislación aplicable en materia de subsidios.</w:t>
      </w:r>
    </w:p>
    <w:p w:rsidR="00480302" w:rsidRPr="00480302" w:rsidRDefault="00480302" w:rsidP="00480302">
      <w:pPr>
        <w:shd w:val="clear" w:color="auto" w:fill="FFFFFF"/>
        <w:spacing w:after="101" w:line="240" w:lineRule="auto"/>
        <w:ind w:hanging="432"/>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c.</w:t>
      </w:r>
      <w:r w:rsidRPr="00480302">
        <w:rPr>
          <w:rFonts w:ascii="Arial" w:eastAsia="Times New Roman" w:hAnsi="Arial" w:cs="Arial"/>
          <w:color w:val="2F2F2F"/>
          <w:sz w:val="20"/>
          <w:szCs w:val="20"/>
          <w:lang w:eastAsia="es-MX"/>
        </w:rPr>
        <w:t>     </w:t>
      </w:r>
      <w:r w:rsidRPr="00480302">
        <w:rPr>
          <w:rFonts w:ascii="Arial" w:eastAsia="Times New Roman" w:hAnsi="Arial" w:cs="Arial"/>
          <w:color w:val="2F2F2F"/>
          <w:sz w:val="18"/>
          <w:szCs w:val="18"/>
          <w:lang w:eastAsia="es-MX"/>
        </w:rPr>
        <w:t>Atender todos los acuerdos del Consejo de Coordinación para la Implementación de la Reforma al Sistema de Justicia Laboral y los que deriven de las Reuniones de coordinación para la implementación de la reforma al Sistema de Justicia Laboral.</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CUARTA.</w:t>
      </w:r>
      <w:r w:rsidRPr="00480302">
        <w:rPr>
          <w:rFonts w:ascii="Arial" w:eastAsia="Times New Roman" w:hAnsi="Arial" w:cs="Arial"/>
          <w:color w:val="2F2F2F"/>
          <w:sz w:val="18"/>
          <w:szCs w:val="18"/>
          <w:lang w:eastAsia="es-MX"/>
        </w:rPr>
        <w:t> COMPROMISOS DE "LA SECRETARÍA". "LA SECRETARÍA", a través de la UERSJL, se obliga a:</w:t>
      </w:r>
    </w:p>
    <w:p w:rsidR="00480302" w:rsidRPr="00480302" w:rsidRDefault="00480302" w:rsidP="00480302">
      <w:pPr>
        <w:shd w:val="clear" w:color="auto" w:fill="FFFFFF"/>
        <w:spacing w:after="101" w:line="240" w:lineRule="auto"/>
        <w:ind w:hanging="432"/>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a.</w:t>
      </w:r>
      <w:r w:rsidRPr="00480302">
        <w:rPr>
          <w:rFonts w:ascii="Arial" w:eastAsia="Times New Roman" w:hAnsi="Arial" w:cs="Arial"/>
          <w:color w:val="2F2F2F"/>
          <w:sz w:val="20"/>
          <w:szCs w:val="20"/>
          <w:lang w:eastAsia="es-MX"/>
        </w:rPr>
        <w:t>     </w:t>
      </w:r>
      <w:r w:rsidRPr="00480302">
        <w:rPr>
          <w:rFonts w:ascii="Arial" w:eastAsia="Times New Roman" w:hAnsi="Arial" w:cs="Arial"/>
          <w:color w:val="2F2F2F"/>
          <w:sz w:val="18"/>
          <w:szCs w:val="18"/>
          <w:lang w:eastAsia="es-MX"/>
        </w:rPr>
        <w:t>Otorgar los recursos públicos federales por concepto de subsidios objeto del presente Convenio, para la ejecución de los Proyectos a que se refieren las CLÁUSULAS PRIMERA y SEGUNDA, conforme a lo aprobado por el Comité de Evaluación, hasta dentro de los treinta días naturales siguientes al envío de la solicitud de transferencia de recursos, conforme a lo dispuesto en el numeral Vigésimo séptimo de los Lineamientos.</w:t>
      </w:r>
    </w:p>
    <w:p w:rsidR="00480302" w:rsidRPr="00480302" w:rsidRDefault="00480302" w:rsidP="00480302">
      <w:pPr>
        <w:shd w:val="clear" w:color="auto" w:fill="FFFFFF"/>
        <w:spacing w:after="101" w:line="240" w:lineRule="auto"/>
        <w:ind w:hanging="432"/>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b.</w:t>
      </w:r>
      <w:r w:rsidRPr="00480302">
        <w:rPr>
          <w:rFonts w:ascii="Arial" w:eastAsia="Times New Roman" w:hAnsi="Arial" w:cs="Arial"/>
          <w:color w:val="2F2F2F"/>
          <w:sz w:val="20"/>
          <w:szCs w:val="20"/>
          <w:lang w:eastAsia="es-MX"/>
        </w:rPr>
        <w:t>    </w:t>
      </w:r>
      <w:r w:rsidRPr="00480302">
        <w:rPr>
          <w:rFonts w:ascii="Arial" w:eastAsia="Times New Roman" w:hAnsi="Arial" w:cs="Arial"/>
          <w:color w:val="2F2F2F"/>
          <w:sz w:val="18"/>
          <w:szCs w:val="18"/>
          <w:lang w:eastAsia="es-MX"/>
        </w:rPr>
        <w:t>Realizar los registros correspondientes en la Cuenta Pública Federal y en los demás informes sobre el ejercicio del gasto público, a efecto de informar sobre la aplicación de los subsidios otorgados en el marco del presente instrumento.</w:t>
      </w:r>
    </w:p>
    <w:p w:rsidR="00480302" w:rsidRPr="00480302" w:rsidRDefault="00480302" w:rsidP="00480302">
      <w:pPr>
        <w:shd w:val="clear" w:color="auto" w:fill="FFFFFF"/>
        <w:spacing w:after="101" w:line="240" w:lineRule="auto"/>
        <w:ind w:hanging="432"/>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c.</w:t>
      </w:r>
      <w:r w:rsidRPr="00480302">
        <w:rPr>
          <w:rFonts w:ascii="Arial" w:eastAsia="Times New Roman" w:hAnsi="Arial" w:cs="Arial"/>
          <w:color w:val="2F2F2F"/>
          <w:sz w:val="20"/>
          <w:szCs w:val="20"/>
          <w:lang w:eastAsia="es-MX"/>
        </w:rPr>
        <w:t>     </w:t>
      </w:r>
      <w:r w:rsidRPr="00480302">
        <w:rPr>
          <w:rFonts w:ascii="Arial" w:eastAsia="Times New Roman" w:hAnsi="Arial" w:cs="Arial"/>
          <w:color w:val="2F2F2F"/>
          <w:sz w:val="18"/>
          <w:szCs w:val="18"/>
          <w:lang w:eastAsia="es-MX"/>
        </w:rPr>
        <w:t>Informar sobre los resultados obtenidos con la aplicación de los recursos presupuestarios federales que se proporcionarán en el marco de este instrumento.</w:t>
      </w:r>
    </w:p>
    <w:p w:rsidR="00480302" w:rsidRPr="00480302" w:rsidRDefault="00480302" w:rsidP="00480302">
      <w:pPr>
        <w:shd w:val="clear" w:color="auto" w:fill="FFFFFF"/>
        <w:spacing w:after="101" w:line="240" w:lineRule="auto"/>
        <w:ind w:hanging="432"/>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d.</w:t>
      </w:r>
      <w:r w:rsidRPr="00480302">
        <w:rPr>
          <w:rFonts w:ascii="Arial" w:eastAsia="Times New Roman" w:hAnsi="Arial" w:cs="Arial"/>
          <w:color w:val="2F2F2F"/>
          <w:sz w:val="20"/>
          <w:szCs w:val="20"/>
          <w:lang w:eastAsia="es-MX"/>
        </w:rPr>
        <w:t>    </w:t>
      </w:r>
      <w:r w:rsidRPr="00480302">
        <w:rPr>
          <w:rFonts w:ascii="Arial" w:eastAsia="Times New Roman" w:hAnsi="Arial" w:cs="Arial"/>
          <w:color w:val="2F2F2F"/>
          <w:sz w:val="18"/>
          <w:szCs w:val="18"/>
          <w:lang w:eastAsia="es-MX"/>
        </w:rPr>
        <w:t>Publicar en el DOF el presente Convenio, una vez firmado por "LAS PARTES", para los efectos legales conducentes.</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QUINTA.</w:t>
      </w:r>
      <w:r w:rsidRPr="00480302">
        <w:rPr>
          <w:rFonts w:ascii="Arial" w:eastAsia="Times New Roman" w:hAnsi="Arial" w:cs="Arial"/>
          <w:color w:val="2F2F2F"/>
          <w:sz w:val="18"/>
          <w:szCs w:val="18"/>
          <w:lang w:eastAsia="es-MX"/>
        </w:rPr>
        <w:t> COMPROMISOS DE "EL GOBIERNO DEL ESTADO". "EL GOBIERNO DEL ESTADO" se compromete a:</w:t>
      </w:r>
    </w:p>
    <w:p w:rsidR="00480302" w:rsidRPr="00480302" w:rsidRDefault="00480302" w:rsidP="00480302">
      <w:pPr>
        <w:shd w:val="clear" w:color="auto" w:fill="FFFFFF"/>
        <w:spacing w:after="101" w:line="240" w:lineRule="auto"/>
        <w:ind w:hanging="432"/>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a.</w:t>
      </w:r>
      <w:r w:rsidRPr="00480302">
        <w:rPr>
          <w:rFonts w:ascii="Arial" w:eastAsia="Times New Roman" w:hAnsi="Arial" w:cs="Arial"/>
          <w:color w:val="2F2F2F"/>
          <w:sz w:val="20"/>
          <w:szCs w:val="20"/>
          <w:lang w:eastAsia="es-MX"/>
        </w:rPr>
        <w:t>     </w:t>
      </w:r>
      <w:r w:rsidRPr="00480302">
        <w:rPr>
          <w:rFonts w:ascii="Arial" w:eastAsia="Times New Roman" w:hAnsi="Arial" w:cs="Arial"/>
          <w:color w:val="2F2F2F"/>
          <w:sz w:val="18"/>
          <w:szCs w:val="18"/>
          <w:lang w:eastAsia="es-MX"/>
        </w:rPr>
        <w:t>Destinar por conducto del Poder Judicial del estado, los recursos asignados vía subsidio exclusivamente para los fines previstos en las CLÁUSULAS PRIMERA y SEGUNDA.</w:t>
      </w:r>
    </w:p>
    <w:p w:rsidR="00480302" w:rsidRPr="00480302" w:rsidRDefault="00480302" w:rsidP="00480302">
      <w:pPr>
        <w:shd w:val="clear" w:color="auto" w:fill="FFFFFF"/>
        <w:spacing w:after="101" w:line="240" w:lineRule="auto"/>
        <w:ind w:hanging="432"/>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b.</w:t>
      </w:r>
      <w:r w:rsidRPr="00480302">
        <w:rPr>
          <w:rFonts w:ascii="Arial" w:eastAsia="Times New Roman" w:hAnsi="Arial" w:cs="Arial"/>
          <w:color w:val="2F2F2F"/>
          <w:sz w:val="20"/>
          <w:szCs w:val="20"/>
          <w:lang w:eastAsia="es-MX"/>
        </w:rPr>
        <w:t>    </w:t>
      </w:r>
      <w:r w:rsidRPr="00480302">
        <w:rPr>
          <w:rFonts w:ascii="Arial" w:eastAsia="Times New Roman" w:hAnsi="Arial" w:cs="Arial"/>
          <w:color w:val="2F2F2F"/>
          <w:sz w:val="18"/>
          <w:szCs w:val="18"/>
          <w:lang w:eastAsia="es-MX"/>
        </w:rPr>
        <w:t>Ejercer el recurso federal de conformidad con lo establecido en el Proyecto presentado, a más tardar el 30 de noviembre de 2023.</w:t>
      </w:r>
    </w:p>
    <w:p w:rsidR="00480302" w:rsidRPr="00480302" w:rsidRDefault="00480302" w:rsidP="00480302">
      <w:pPr>
        <w:shd w:val="clear" w:color="auto" w:fill="FFFFFF"/>
        <w:spacing w:after="101" w:line="240" w:lineRule="auto"/>
        <w:ind w:hanging="432"/>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c.</w:t>
      </w:r>
      <w:r w:rsidRPr="00480302">
        <w:rPr>
          <w:rFonts w:ascii="Arial" w:eastAsia="Times New Roman" w:hAnsi="Arial" w:cs="Arial"/>
          <w:color w:val="2F2F2F"/>
          <w:sz w:val="20"/>
          <w:szCs w:val="20"/>
          <w:lang w:eastAsia="es-MX"/>
        </w:rPr>
        <w:t>     </w:t>
      </w:r>
      <w:r w:rsidRPr="00480302">
        <w:rPr>
          <w:rFonts w:ascii="Arial" w:eastAsia="Times New Roman" w:hAnsi="Arial" w:cs="Arial"/>
          <w:color w:val="2F2F2F"/>
          <w:sz w:val="18"/>
          <w:szCs w:val="18"/>
          <w:lang w:eastAsia="es-MX"/>
        </w:rPr>
        <w:t>Iniciar las acciones para dar cumplimiento a los objetivos y metas definidas en el Proyecto presentado y en el Plan calendarizado, una vez que se firme el presente Convenio.</w:t>
      </w:r>
    </w:p>
    <w:p w:rsidR="00480302" w:rsidRPr="00480302" w:rsidRDefault="00480302" w:rsidP="00480302">
      <w:pPr>
        <w:shd w:val="clear" w:color="auto" w:fill="FFFFFF"/>
        <w:spacing w:after="101" w:line="240" w:lineRule="auto"/>
        <w:ind w:hanging="432"/>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d.</w:t>
      </w:r>
      <w:r w:rsidRPr="00480302">
        <w:rPr>
          <w:rFonts w:ascii="Arial" w:eastAsia="Times New Roman" w:hAnsi="Arial" w:cs="Arial"/>
          <w:color w:val="2F2F2F"/>
          <w:sz w:val="20"/>
          <w:szCs w:val="20"/>
          <w:lang w:eastAsia="es-MX"/>
        </w:rPr>
        <w:t>    </w:t>
      </w:r>
      <w:r w:rsidRPr="00480302">
        <w:rPr>
          <w:rFonts w:ascii="Arial" w:eastAsia="Times New Roman" w:hAnsi="Arial" w:cs="Arial"/>
          <w:color w:val="2F2F2F"/>
          <w:sz w:val="18"/>
          <w:szCs w:val="18"/>
          <w:lang w:eastAsia="es-MX"/>
        </w:rPr>
        <w:t>Realizar por conducto del Poder Judicial del estado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 considerando los precios unitarios autorizados de acuerdo con las cotizaciones presentadas en cada uno de los rubros de Mobiliario y Tecnologías de la Información, se podrán adquirir los bienes y servicios hasta con un incremento del 20% sobre los precios unitarios aprobados por el Comité, siempre y cuando cuenten con la disponibilidad en cada uno de los rubros en comento.</w:t>
      </w:r>
    </w:p>
    <w:p w:rsidR="00480302" w:rsidRPr="00480302" w:rsidRDefault="00480302" w:rsidP="00480302">
      <w:pPr>
        <w:shd w:val="clear" w:color="auto" w:fill="FFFFFF"/>
        <w:spacing w:after="101" w:line="240" w:lineRule="auto"/>
        <w:ind w:hanging="432"/>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e.</w:t>
      </w:r>
      <w:r w:rsidRPr="00480302">
        <w:rPr>
          <w:rFonts w:ascii="Arial" w:eastAsia="Times New Roman" w:hAnsi="Arial" w:cs="Arial"/>
          <w:color w:val="2F2F2F"/>
          <w:sz w:val="20"/>
          <w:szCs w:val="20"/>
          <w:lang w:eastAsia="es-MX"/>
        </w:rPr>
        <w:t>     </w:t>
      </w:r>
      <w:r w:rsidRPr="00480302">
        <w:rPr>
          <w:rFonts w:ascii="Arial" w:eastAsia="Times New Roman" w:hAnsi="Arial" w:cs="Arial"/>
          <w:color w:val="2F2F2F"/>
          <w:sz w:val="18"/>
          <w:szCs w:val="18"/>
          <w:lang w:eastAsia="es-MX"/>
        </w:rPr>
        <w:t>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rsidR="00480302" w:rsidRPr="00480302" w:rsidRDefault="00480302" w:rsidP="00480302">
      <w:pPr>
        <w:shd w:val="clear" w:color="auto" w:fill="FFFFFF"/>
        <w:spacing w:after="101" w:line="240" w:lineRule="auto"/>
        <w:ind w:hanging="432"/>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f.</w:t>
      </w:r>
      <w:r w:rsidRPr="00480302">
        <w:rPr>
          <w:rFonts w:ascii="Arial" w:eastAsia="Times New Roman" w:hAnsi="Arial" w:cs="Arial"/>
          <w:color w:val="2F2F2F"/>
          <w:sz w:val="20"/>
          <w:szCs w:val="20"/>
          <w:lang w:eastAsia="es-MX"/>
        </w:rPr>
        <w:t>     </w:t>
      </w:r>
      <w:r w:rsidRPr="00480302">
        <w:rPr>
          <w:rFonts w:ascii="Arial" w:eastAsia="Times New Roman" w:hAnsi="Arial" w:cs="Arial"/>
          <w:color w:val="2F2F2F"/>
          <w:sz w:val="18"/>
          <w:szCs w:val="18"/>
          <w:lang w:eastAsia="es-MX"/>
        </w:rPr>
        <w:t>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rsidR="00480302" w:rsidRPr="00480302" w:rsidRDefault="00480302" w:rsidP="00480302">
      <w:pPr>
        <w:shd w:val="clear" w:color="auto" w:fill="FFFFFF"/>
        <w:spacing w:after="101" w:line="240" w:lineRule="auto"/>
        <w:ind w:hanging="432"/>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g.</w:t>
      </w:r>
      <w:r w:rsidRPr="00480302">
        <w:rPr>
          <w:rFonts w:ascii="Arial" w:eastAsia="Times New Roman" w:hAnsi="Arial" w:cs="Arial"/>
          <w:color w:val="2F2F2F"/>
          <w:sz w:val="20"/>
          <w:szCs w:val="20"/>
          <w:lang w:eastAsia="es-MX"/>
        </w:rPr>
        <w:t>    </w:t>
      </w:r>
      <w:r w:rsidRPr="00480302">
        <w:rPr>
          <w:rFonts w:ascii="Arial" w:eastAsia="Times New Roman" w:hAnsi="Arial" w:cs="Arial"/>
          <w:color w:val="2F2F2F"/>
          <w:sz w:val="18"/>
          <w:szCs w:val="18"/>
          <w:lang w:eastAsia="es-MX"/>
        </w:rPr>
        <w:t>Recabar, resguardar y conservar la documentación justificativa y comprobatoria de las erogaciones cubiertas con los recursos federales que le sean entregados por concepto de subsidios.</w:t>
      </w:r>
    </w:p>
    <w:p w:rsidR="00480302" w:rsidRPr="00480302" w:rsidRDefault="00480302" w:rsidP="00480302">
      <w:pPr>
        <w:shd w:val="clear" w:color="auto" w:fill="FFFFFF"/>
        <w:spacing w:after="101" w:line="240" w:lineRule="auto"/>
        <w:ind w:hanging="432"/>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h.</w:t>
      </w:r>
      <w:r w:rsidRPr="00480302">
        <w:rPr>
          <w:rFonts w:ascii="Arial" w:eastAsia="Times New Roman" w:hAnsi="Arial" w:cs="Arial"/>
          <w:color w:val="2F2F2F"/>
          <w:sz w:val="20"/>
          <w:szCs w:val="20"/>
          <w:lang w:eastAsia="es-MX"/>
        </w:rPr>
        <w:t>    </w:t>
      </w:r>
      <w:r w:rsidRPr="00480302">
        <w:rPr>
          <w:rFonts w:ascii="Arial" w:eastAsia="Times New Roman" w:hAnsi="Arial" w:cs="Arial"/>
          <w:color w:val="2F2F2F"/>
          <w:sz w:val="18"/>
          <w:szCs w:val="18"/>
          <w:lang w:eastAsia="es-MX"/>
        </w:rPr>
        <w:t>Realizar los registros correspondientes en la contabilidad y en la Cuenta Pública local, conforme sean devengados y ejercidos los recursos, y dar cumplimiento a las disposiciones federales aplicables respecto de la administración de éstos.</w:t>
      </w:r>
    </w:p>
    <w:p w:rsidR="00480302" w:rsidRPr="00480302" w:rsidRDefault="00480302" w:rsidP="00480302">
      <w:pPr>
        <w:shd w:val="clear" w:color="auto" w:fill="FFFFFF"/>
        <w:spacing w:after="101" w:line="240" w:lineRule="auto"/>
        <w:ind w:hanging="432"/>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lastRenderedPageBreak/>
        <w:t>i.</w:t>
      </w:r>
      <w:r w:rsidRPr="00480302">
        <w:rPr>
          <w:rFonts w:ascii="Arial" w:eastAsia="Times New Roman" w:hAnsi="Arial" w:cs="Arial"/>
          <w:color w:val="2F2F2F"/>
          <w:sz w:val="20"/>
          <w:szCs w:val="20"/>
          <w:lang w:eastAsia="es-MX"/>
        </w:rPr>
        <w:t>     </w:t>
      </w:r>
      <w:r w:rsidRPr="00480302">
        <w:rPr>
          <w:rFonts w:ascii="Arial" w:eastAsia="Times New Roman" w:hAnsi="Arial" w:cs="Arial"/>
          <w:color w:val="2F2F2F"/>
          <w:sz w:val="18"/>
          <w:szCs w:val="18"/>
          <w:lang w:eastAsia="es-MX"/>
        </w:rPr>
        <w:t>Integrar y resguardar los expedientes relacionados con la ejecución y comprobación de los Proyectos financiados con los recursos otorgados objeto del presente instrumento.</w:t>
      </w:r>
    </w:p>
    <w:p w:rsidR="00480302" w:rsidRPr="00480302" w:rsidRDefault="00480302" w:rsidP="00480302">
      <w:pPr>
        <w:shd w:val="clear" w:color="auto" w:fill="FFFFFF"/>
        <w:spacing w:after="101" w:line="240" w:lineRule="auto"/>
        <w:ind w:hanging="432"/>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j.</w:t>
      </w:r>
      <w:r w:rsidRPr="00480302">
        <w:rPr>
          <w:rFonts w:ascii="Arial" w:eastAsia="Times New Roman" w:hAnsi="Arial" w:cs="Arial"/>
          <w:color w:val="2F2F2F"/>
          <w:sz w:val="20"/>
          <w:szCs w:val="20"/>
          <w:lang w:eastAsia="es-MX"/>
        </w:rPr>
        <w:t>     </w:t>
      </w:r>
      <w:r w:rsidRPr="00480302">
        <w:rPr>
          <w:rFonts w:ascii="Arial" w:eastAsia="Times New Roman" w:hAnsi="Arial" w:cs="Arial"/>
          <w:color w:val="2F2F2F"/>
          <w:sz w:val="18"/>
          <w:szCs w:val="18"/>
          <w:lang w:eastAsia="es-MX"/>
        </w:rPr>
        <w:t>Reportar trimestralmente por rubro, conforme al Plan calendarizado lo siguiente:</w:t>
      </w:r>
    </w:p>
    <w:p w:rsidR="00480302" w:rsidRPr="00480302" w:rsidRDefault="00480302" w:rsidP="00480302">
      <w:pPr>
        <w:shd w:val="clear" w:color="auto" w:fill="FFFFFF"/>
        <w:spacing w:after="101" w:line="240" w:lineRule="auto"/>
        <w:ind w:hanging="360"/>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1.</w:t>
      </w:r>
      <w:r w:rsidRPr="00480302">
        <w:rPr>
          <w:rFonts w:ascii="Arial" w:eastAsia="Times New Roman" w:hAnsi="Arial" w:cs="Arial"/>
          <w:color w:val="2F2F2F"/>
          <w:sz w:val="20"/>
          <w:szCs w:val="20"/>
          <w:lang w:eastAsia="es-MX"/>
        </w:rPr>
        <w:t>   </w:t>
      </w:r>
      <w:r w:rsidRPr="00480302">
        <w:rPr>
          <w:rFonts w:ascii="Arial" w:eastAsia="Times New Roman" w:hAnsi="Arial" w:cs="Arial"/>
          <w:color w:val="2F2F2F"/>
          <w:sz w:val="18"/>
          <w:szCs w:val="18"/>
          <w:lang w:eastAsia="es-MX"/>
        </w:rPr>
        <w:t>La información sobre el ejercicio, destino y resultados obtenidos con los recursos del subsidio;</w:t>
      </w:r>
    </w:p>
    <w:p w:rsidR="00480302" w:rsidRPr="00480302" w:rsidRDefault="00480302" w:rsidP="00480302">
      <w:pPr>
        <w:shd w:val="clear" w:color="auto" w:fill="FFFFFF"/>
        <w:spacing w:after="101" w:line="240" w:lineRule="auto"/>
        <w:ind w:hanging="360"/>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2.</w:t>
      </w:r>
      <w:r w:rsidRPr="00480302">
        <w:rPr>
          <w:rFonts w:ascii="Arial" w:eastAsia="Times New Roman" w:hAnsi="Arial" w:cs="Arial"/>
          <w:color w:val="2F2F2F"/>
          <w:sz w:val="20"/>
          <w:szCs w:val="20"/>
          <w:lang w:eastAsia="es-MX"/>
        </w:rPr>
        <w:t>   </w:t>
      </w:r>
      <w:r w:rsidRPr="00480302">
        <w:rPr>
          <w:rFonts w:ascii="Arial" w:eastAsia="Times New Roman" w:hAnsi="Arial" w:cs="Arial"/>
          <w:color w:val="2F2F2F"/>
          <w:sz w:val="18"/>
          <w:szCs w:val="18"/>
          <w:lang w:eastAsia="es-MX"/>
        </w:rPr>
        <w:t>La disponibilidad financiera con la que cuente y el recurso del subsidio autorizado, comprometido, devengado, ejercido pagado y disponible el cual deberá ser validado por la Secretaría de Finanzas y soportado con la documentación inherente al Proyecto que corresponda (creación, fortalecimiento y/o mejora de los Tribunales Laborales Locales).</w:t>
      </w:r>
    </w:p>
    <w:p w:rsidR="00480302" w:rsidRPr="00480302" w:rsidRDefault="00480302" w:rsidP="00480302">
      <w:pPr>
        <w:shd w:val="clear" w:color="auto" w:fill="FFFFFF"/>
        <w:spacing w:after="101" w:line="240" w:lineRule="auto"/>
        <w:ind w:hanging="360"/>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3.</w:t>
      </w:r>
      <w:r w:rsidRPr="00480302">
        <w:rPr>
          <w:rFonts w:ascii="Arial" w:eastAsia="Times New Roman" w:hAnsi="Arial" w:cs="Arial"/>
          <w:color w:val="2F2F2F"/>
          <w:sz w:val="20"/>
          <w:szCs w:val="20"/>
          <w:lang w:eastAsia="es-MX"/>
        </w:rPr>
        <w:t>   </w:t>
      </w:r>
      <w:r w:rsidRPr="00480302">
        <w:rPr>
          <w:rFonts w:ascii="Arial" w:eastAsia="Times New Roman" w:hAnsi="Arial" w:cs="Arial"/>
          <w:color w:val="2F2F2F"/>
          <w:sz w:val="18"/>
          <w:szCs w:val="18"/>
          <w:lang w:eastAsia="es-MX"/>
        </w:rPr>
        <w:t>Los instrumentos contractuales correspondientes a los procesos de adjudicación realizados en el periodo reportado.</w:t>
      </w:r>
    </w:p>
    <w:p w:rsidR="00480302" w:rsidRPr="00480302" w:rsidRDefault="00480302" w:rsidP="00480302">
      <w:pPr>
        <w:shd w:val="clear" w:color="auto" w:fill="FFFFFF"/>
        <w:spacing w:after="101" w:line="240" w:lineRule="auto"/>
        <w:ind w:hanging="360"/>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4.</w:t>
      </w:r>
      <w:r w:rsidRPr="00480302">
        <w:rPr>
          <w:rFonts w:ascii="Arial" w:eastAsia="Times New Roman" w:hAnsi="Arial" w:cs="Arial"/>
          <w:color w:val="2F2F2F"/>
          <w:sz w:val="20"/>
          <w:szCs w:val="20"/>
          <w:lang w:eastAsia="es-MX"/>
        </w:rPr>
        <w:t>   </w:t>
      </w:r>
      <w:r w:rsidRPr="00480302">
        <w:rPr>
          <w:rFonts w:ascii="Arial" w:eastAsia="Times New Roman" w:hAnsi="Arial" w:cs="Arial"/>
          <w:color w:val="2F2F2F"/>
          <w:sz w:val="18"/>
          <w:szCs w:val="18"/>
          <w:lang w:eastAsia="es-MX"/>
        </w:rPr>
        <w:t>Los comprobantes fiscales en términos de las leyes aplicables y la verificación de estos en la página de Sistema de Administración Tributaria (SAT).</w:t>
      </w:r>
    </w:p>
    <w:p w:rsidR="00480302" w:rsidRPr="00480302" w:rsidRDefault="00480302" w:rsidP="00480302">
      <w:pPr>
        <w:shd w:val="clear" w:color="auto" w:fill="FFFFFF"/>
        <w:spacing w:after="101" w:line="240" w:lineRule="auto"/>
        <w:ind w:hanging="360"/>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5.</w:t>
      </w:r>
      <w:r w:rsidRPr="00480302">
        <w:rPr>
          <w:rFonts w:ascii="Arial" w:eastAsia="Times New Roman" w:hAnsi="Arial" w:cs="Arial"/>
          <w:color w:val="2F2F2F"/>
          <w:sz w:val="20"/>
          <w:szCs w:val="20"/>
          <w:lang w:eastAsia="es-MX"/>
        </w:rPr>
        <w:t>   </w:t>
      </w:r>
      <w:r w:rsidRPr="00480302">
        <w:rPr>
          <w:rFonts w:ascii="Arial" w:eastAsia="Times New Roman" w:hAnsi="Arial" w:cs="Arial"/>
          <w:color w:val="2F2F2F"/>
          <w:sz w:val="18"/>
          <w:szCs w:val="18"/>
          <w:lang w:eastAsia="es-MX"/>
        </w:rPr>
        <w:t>Los estados de cuenta bancarios del periodo reportado.</w:t>
      </w:r>
    </w:p>
    <w:p w:rsidR="00480302" w:rsidRPr="00480302" w:rsidRDefault="00480302" w:rsidP="00480302">
      <w:pPr>
        <w:shd w:val="clear" w:color="auto" w:fill="FFFFFF"/>
        <w:spacing w:after="101" w:line="240" w:lineRule="auto"/>
        <w:ind w:hanging="360"/>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6.</w:t>
      </w:r>
      <w:r w:rsidRPr="00480302">
        <w:rPr>
          <w:rFonts w:ascii="Arial" w:eastAsia="Times New Roman" w:hAnsi="Arial" w:cs="Arial"/>
          <w:color w:val="2F2F2F"/>
          <w:sz w:val="20"/>
          <w:szCs w:val="20"/>
          <w:lang w:eastAsia="es-MX"/>
        </w:rPr>
        <w:t>   </w:t>
      </w:r>
      <w:r w:rsidRPr="00480302">
        <w:rPr>
          <w:rFonts w:ascii="Arial" w:eastAsia="Times New Roman" w:hAnsi="Arial" w:cs="Arial"/>
          <w:color w:val="2F2F2F"/>
          <w:sz w:val="18"/>
          <w:szCs w:val="18"/>
          <w:lang w:eastAsia="es-MX"/>
        </w:rPr>
        <w:t>El grado de avance de los Proyectos medidos con base en las metas e indicadores que se muestren en el formato de la Plataforma que "LA SECRETARÍA" habilite para tal fin.</w:t>
      </w:r>
    </w:p>
    <w:p w:rsidR="00480302" w:rsidRPr="00480302" w:rsidRDefault="00480302" w:rsidP="00480302">
      <w:pPr>
        <w:shd w:val="clear" w:color="auto" w:fill="FFFFFF"/>
        <w:spacing w:after="101" w:line="240" w:lineRule="auto"/>
        <w:ind w:hanging="360"/>
        <w:jc w:val="both"/>
        <w:rPr>
          <w:rFonts w:ascii="Arial" w:eastAsia="Times New Roman" w:hAnsi="Arial" w:cs="Arial"/>
          <w:color w:val="2F2F2F"/>
          <w:sz w:val="18"/>
          <w:szCs w:val="18"/>
          <w:lang w:eastAsia="es-MX"/>
        </w:rPr>
      </w:pPr>
      <w:r w:rsidRPr="00480302">
        <w:rPr>
          <w:rFonts w:ascii="Arial" w:eastAsia="Times New Roman" w:hAnsi="Arial" w:cs="Arial"/>
          <w:color w:val="2F2F2F"/>
          <w:sz w:val="20"/>
          <w:szCs w:val="20"/>
          <w:lang w:eastAsia="es-MX"/>
        </w:rPr>
        <w:t>      </w:t>
      </w:r>
      <w:r w:rsidRPr="00480302">
        <w:rPr>
          <w:rFonts w:ascii="Arial" w:eastAsia="Times New Roman" w:hAnsi="Arial" w:cs="Arial"/>
          <w:color w:val="2F2F2F"/>
          <w:sz w:val="18"/>
          <w:szCs w:val="18"/>
          <w:lang w:eastAsia="es-MX"/>
        </w:rPr>
        <w:t>Los reportes también deberán hacer mención del avance del Proyecto con su debido soporte documental.</w:t>
      </w:r>
    </w:p>
    <w:p w:rsidR="00480302" w:rsidRPr="00480302" w:rsidRDefault="00480302" w:rsidP="00480302">
      <w:pPr>
        <w:shd w:val="clear" w:color="auto" w:fill="FFFFFF"/>
        <w:spacing w:after="101" w:line="240" w:lineRule="auto"/>
        <w:ind w:hanging="432"/>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k.</w:t>
      </w:r>
      <w:r w:rsidRPr="00480302">
        <w:rPr>
          <w:rFonts w:ascii="Arial" w:eastAsia="Times New Roman" w:hAnsi="Arial" w:cs="Arial"/>
          <w:color w:val="2F2F2F"/>
          <w:sz w:val="20"/>
          <w:szCs w:val="20"/>
          <w:lang w:eastAsia="es-MX"/>
        </w:rPr>
        <w:t>     </w:t>
      </w:r>
      <w:r w:rsidRPr="00480302">
        <w:rPr>
          <w:rFonts w:ascii="Arial" w:eastAsia="Times New Roman" w:hAnsi="Arial" w:cs="Arial"/>
          <w:color w:val="2F2F2F"/>
          <w:sz w:val="18"/>
          <w:szCs w:val="18"/>
          <w:lang w:eastAsia="es-MX"/>
        </w:rPr>
        <w:t>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rsidR="00480302" w:rsidRPr="00480302" w:rsidRDefault="00480302" w:rsidP="00480302">
      <w:pPr>
        <w:shd w:val="clear" w:color="auto" w:fill="FFFFFF"/>
        <w:spacing w:after="101" w:line="240" w:lineRule="auto"/>
        <w:ind w:hanging="432"/>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l.</w:t>
      </w:r>
      <w:r w:rsidRPr="00480302">
        <w:rPr>
          <w:rFonts w:ascii="Arial" w:eastAsia="Times New Roman" w:hAnsi="Arial" w:cs="Arial"/>
          <w:color w:val="2F2F2F"/>
          <w:sz w:val="20"/>
          <w:szCs w:val="20"/>
          <w:lang w:eastAsia="es-MX"/>
        </w:rPr>
        <w:t>     </w:t>
      </w:r>
      <w:r w:rsidRPr="00480302">
        <w:rPr>
          <w:rFonts w:ascii="Arial" w:eastAsia="Times New Roman" w:hAnsi="Arial" w:cs="Arial"/>
          <w:color w:val="2F2F2F"/>
          <w:sz w:val="18"/>
          <w:szCs w:val="18"/>
          <w:lang w:eastAsia="es-MX"/>
        </w:rPr>
        <w:t>En términos de los Lineamientos, presentar a "LA SECRETARÍA", a más tardar el 15 de diciembre de 2023, el Acta de cierre del Proyecto, firmada por las autoridades responsables, la cual deberá cumplir con los requisitos que se establecen en el numeral Trigésimo octavo, inciso p, de los Lineamientos.</w:t>
      </w:r>
    </w:p>
    <w:p w:rsidR="00480302" w:rsidRPr="00480302" w:rsidRDefault="00480302" w:rsidP="00480302">
      <w:pPr>
        <w:shd w:val="clear" w:color="auto" w:fill="FFFFFF"/>
        <w:spacing w:after="101" w:line="240" w:lineRule="auto"/>
        <w:ind w:hanging="432"/>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m.</w:t>
      </w:r>
      <w:r w:rsidRPr="00480302">
        <w:rPr>
          <w:rFonts w:ascii="Arial" w:eastAsia="Times New Roman" w:hAnsi="Arial" w:cs="Arial"/>
          <w:color w:val="2F2F2F"/>
          <w:sz w:val="20"/>
          <w:szCs w:val="20"/>
          <w:lang w:eastAsia="es-MX"/>
        </w:rPr>
        <w:t>    </w:t>
      </w:r>
      <w:r w:rsidRPr="00480302">
        <w:rPr>
          <w:rFonts w:ascii="Arial" w:eastAsia="Times New Roman" w:hAnsi="Arial" w:cs="Arial"/>
          <w:color w:val="2F2F2F"/>
          <w:sz w:val="18"/>
          <w:szCs w:val="18"/>
          <w:lang w:eastAsia="es-MX"/>
        </w:rPr>
        <w:t>Informar a "LA SECRETARÍA" el cambio de los servidores públicos con injerencia directa en la aplicación de los Lineamientos, que se realice en la Entidad Federativa hasta el 15 de diciembre de 2023,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rsidR="00480302" w:rsidRPr="00480302" w:rsidRDefault="00480302" w:rsidP="00480302">
      <w:pPr>
        <w:shd w:val="clear" w:color="auto" w:fill="FFFFFF"/>
        <w:spacing w:after="101" w:line="240" w:lineRule="auto"/>
        <w:ind w:hanging="432"/>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n.</w:t>
      </w:r>
      <w:r w:rsidRPr="00480302">
        <w:rPr>
          <w:rFonts w:ascii="Arial" w:eastAsia="Times New Roman" w:hAnsi="Arial" w:cs="Arial"/>
          <w:color w:val="2F2F2F"/>
          <w:sz w:val="20"/>
          <w:szCs w:val="20"/>
          <w:lang w:eastAsia="es-MX"/>
        </w:rPr>
        <w:t>    </w:t>
      </w:r>
      <w:r w:rsidRPr="00480302">
        <w:rPr>
          <w:rFonts w:ascii="Arial" w:eastAsia="Times New Roman" w:hAnsi="Arial" w:cs="Arial"/>
          <w:color w:val="2F2F2F"/>
          <w:sz w:val="18"/>
          <w:szCs w:val="18"/>
          <w:lang w:eastAsia="es-MX"/>
        </w:rPr>
        <w:t>Notificar a "LA SECRETARÍA" sobre cualquier cambio de la persona designada como Enlace, así como del personal responsable del seguimiento del Subsidio, en un plazo no mayor a 10 días hábiles contados a partir del cambio correspondiente, proporcionando los datos de contacto de quien asumirá dichas funciones.</w:t>
      </w:r>
    </w:p>
    <w:p w:rsidR="00480302" w:rsidRPr="00480302" w:rsidRDefault="00480302" w:rsidP="00480302">
      <w:pPr>
        <w:shd w:val="clear" w:color="auto" w:fill="FFFFFF"/>
        <w:spacing w:after="101" w:line="240" w:lineRule="auto"/>
        <w:ind w:hanging="432"/>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o.</w:t>
      </w:r>
      <w:r w:rsidRPr="00480302">
        <w:rPr>
          <w:rFonts w:ascii="Arial" w:eastAsia="Times New Roman" w:hAnsi="Arial" w:cs="Arial"/>
          <w:color w:val="2F2F2F"/>
          <w:sz w:val="20"/>
          <w:szCs w:val="20"/>
          <w:lang w:eastAsia="es-MX"/>
        </w:rPr>
        <w:t>    </w:t>
      </w:r>
      <w:r w:rsidRPr="00480302">
        <w:rPr>
          <w:rFonts w:ascii="Arial" w:eastAsia="Times New Roman" w:hAnsi="Arial" w:cs="Arial"/>
          <w:color w:val="2F2F2F"/>
          <w:sz w:val="18"/>
          <w:szCs w:val="18"/>
          <w:lang w:eastAsia="es-MX"/>
        </w:rPr>
        <w:t>Cumplir y observar en todo momento las disposiciones de la LFPRH, el RLFPRH, el Presupuesto de Egresos de la Federación 2023, y demás legislación aplicable a la materia.</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SEXTA.</w:t>
      </w:r>
      <w:r w:rsidRPr="00480302">
        <w:rPr>
          <w:rFonts w:ascii="Arial" w:eastAsia="Times New Roman" w:hAnsi="Arial" w:cs="Arial"/>
          <w:color w:val="2F2F2F"/>
          <w:sz w:val="18"/>
          <w:szCs w:val="18"/>
          <w:lang w:eastAsia="es-MX"/>
        </w:rPr>
        <w:t> ENLACES. Las o los servidores públicos que fungirán como enlaces entre "LAS PARTES" serán, por "EL GOBIERNO DEL ESTADO" el designado por el Presidente del Tribunal Superior de Justicia del Estado, y por "LA SECRETARÍA" la persona designada por la UERSJL.</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color w:val="2F2F2F"/>
          <w:sz w:val="18"/>
          <w:szCs w:val="18"/>
          <w:lang w:eastAsia="es-MX"/>
        </w:rPr>
        <w:t>A través de las personas designadas como enlaces se efectuarán todas las comunicaciones derivadas de la operación del presente Convenio de Coordinación, quienes serán responsables internos de las actividades encomendadas.</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color w:val="2F2F2F"/>
          <w:sz w:val="18"/>
          <w:szCs w:val="18"/>
          <w:lang w:eastAsia="es-MX"/>
        </w:rPr>
        <w:t>Para efectos del seguimiento y evaluación, "LAS PARTES" acuerdan que las y/o los responsables podrán a su vez, designar a los funcionarios o personal del nivel jerárquico inmediato inferior, para que los asistan en las funciones encomendadas.</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SÉPTIMA.</w:t>
      </w:r>
      <w:r w:rsidRPr="00480302">
        <w:rPr>
          <w:rFonts w:ascii="Arial" w:eastAsia="Times New Roman" w:hAnsi="Arial" w:cs="Arial"/>
          <w:color w:val="2F2F2F"/>
          <w:sz w:val="18"/>
          <w:szCs w:val="18"/>
          <w:lang w:eastAsia="es-MX"/>
        </w:rPr>
        <w:t> REPORTES TRIMESTRALES. "EL GOBIERNO DEL ESTADO", por conducto del enlace asignado informará a "LA SECRETARÍA", a través de la Plataforma y con su debido soporte documental, los reportes trimestrales por rubro del avance conforme al Plan calendarizado presentado por cada uno de los Proyectos.</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color w:val="2F2F2F"/>
          <w:sz w:val="18"/>
          <w:szCs w:val="18"/>
          <w:lang w:eastAsia="es-MX"/>
        </w:rPr>
        <w:t>Los reportes deberán presentarse dentro de los 10 días naturales siguientes a la conclusión de cada trimestre, a partir de la fecha del depósito del recurso al que se refiere la CLÁUSULA SEGUNDA del presente Convenio.</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color w:val="2F2F2F"/>
          <w:sz w:val="18"/>
          <w:szCs w:val="18"/>
          <w:lang w:eastAsia="es-MX"/>
        </w:rPr>
        <w:t>Para lo anterior deberá atender lo dispuesto en el numeral Trigésimo octavo, inciso f, de los Lineamientos.</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color w:val="2F2F2F"/>
          <w:sz w:val="18"/>
          <w:szCs w:val="18"/>
          <w:lang w:eastAsia="es-MX"/>
        </w:rPr>
        <w:lastRenderedPageBreak/>
        <w:t>En caso de no recibir los reportes de acuerdo con su plan calendarizado "LA SECRETARÍA", a través de la UERSJL, solicitará a la Entidad Federativa, que cumpla con esta obligación en un plazo no mayor a 3 días hábiles; de no hacerlo dicha omisión se hará del conocimiento del Comité de Evaluación para que éste determine lo conducente.</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OCTAVA.</w:t>
      </w:r>
      <w:r w:rsidRPr="00480302">
        <w:rPr>
          <w:rFonts w:ascii="Arial" w:eastAsia="Times New Roman" w:hAnsi="Arial" w:cs="Arial"/>
          <w:color w:val="2F2F2F"/>
          <w:sz w:val="18"/>
          <w:szCs w:val="18"/>
          <w:lang w:eastAsia="es-MX"/>
        </w:rPr>
        <w:t> APLICACIONES DE LOS RECURSOS. Los recursos federales que se entregarán a "EL GOBIERNO DEL ESTADO" en los términos del presente instrumento y sus Proyectos, no pierden su carácter federal, por lo que su administración, compromiso, devengo, justificación, comprobación, pago, ejercicio y contabilización, deberá realizarse de conformidad con las disposiciones contenidas en la legislación federal vigente. Los rendimientos financieros que se obtengan en la cuenta productiva a la cual se transferirá el subsidio en el ejercicio fiscal 2023, deberán ser reintegrados a la Tesorería de la Federación en términos de lo dispuesto en el capítulo X de los Lineamientos.</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NOVENA.</w:t>
      </w:r>
      <w:r w:rsidRPr="00480302">
        <w:rPr>
          <w:rFonts w:ascii="Arial" w:eastAsia="Times New Roman" w:hAnsi="Arial" w:cs="Arial"/>
          <w:color w:val="2F2F2F"/>
          <w:sz w:val="18"/>
          <w:szCs w:val="18"/>
          <w:lang w:eastAsia="es-MX"/>
        </w:rPr>
        <w:t> RESPONSABILIDAD DEL RESGUARDO DE LA DOCUMENTACIÓN. El resguardo y conservación de la documentación original que sirvió para justificar y comprobar la aplicación de los recursos a que se refiere el presente Convenio de Coordinación, estará a cargo de "EL GOBIERNO DEL ESTADO" a través del Titular de la Autoridad Solicitante.</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color w:val="2F2F2F"/>
          <w:sz w:val="18"/>
          <w:szCs w:val="18"/>
          <w:lang w:eastAsia="es-MX"/>
        </w:rPr>
        <w:t>En el caso de "LA SECRETARÍA", la documentación original que deberá conservar y que estará bajo su resguardo es la que señalan los numerales Quinto, Décimo cuarto, Décimo sexto, Vigésimo quinto, Trigésimo octavo, incisos f y p, de los Lineamientos.</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DÉCIMA.</w:t>
      </w:r>
      <w:r w:rsidRPr="00480302">
        <w:rPr>
          <w:rFonts w:ascii="Arial" w:eastAsia="Times New Roman" w:hAnsi="Arial" w:cs="Arial"/>
          <w:color w:val="2F2F2F"/>
          <w:sz w:val="18"/>
          <w:szCs w:val="18"/>
          <w:lang w:eastAsia="es-MX"/>
        </w:rPr>
        <w:t> REINTEGRO DE LOS RECURSOS. En caso de que "EL GOBIERNO DEL ESTADO" no erogue los recursos federales asignados, los recursos remanentes o saldos disponibles que presente al 30 de noviembre de 2023, deberá de notificarlo por escrito a la UERSJL de "LA SECRETARÍA" a más tardar el 01 de diciembre de 2023, especificando el monto a reintegrar y estableciendo de forma diferenciada la cantidad correspondiente a los recursos del subsidio disponibles y los rendimientos financieros, con la finalidad de realizar las gestiones necesarias para la obtención de las líneas de captura para realizar el reintegro correspondiente.</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color w:val="2F2F2F"/>
          <w:sz w:val="18"/>
          <w:szCs w:val="18"/>
          <w:lang w:eastAsia="es-MX"/>
        </w:rPr>
        <w:t>Para efectos de lo dispuesto en el párrafo anterior, "EL GOBIERNO DEL ESTADO" deberá solicitar por escrito signado por el Titular de la Autoridad Solicitante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31 de diciembre de 2023, a través de los medios señalados en los Lineamientos.</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color w:val="2F2F2F"/>
          <w:sz w:val="18"/>
          <w:szCs w:val="18"/>
          <w:lang w:eastAsia="es-MX"/>
        </w:rPr>
        <w:t>Asimismo, "EL GOBIERNO DEL ESTADO" estará obligado a reintegrar a la Tesorería de la Federación aquellos recursos que no sean aplicados a los fines para los que le fueron autorizados.</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color w:val="2F2F2F"/>
          <w:sz w:val="18"/>
          <w:szCs w:val="18"/>
          <w:lang w:eastAsia="es-MX"/>
        </w:rPr>
        <w:t>El reintegro de los recursos a la Tesorería de la Federación se regirá conforme a lo dispuesto en el capítulo X de los Lineamientos, la LFPRH, el RLFPRH y las demás disposiciones aplicables en la materia.</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DÉCIMA PRIMERA. </w:t>
      </w:r>
      <w:r w:rsidRPr="00480302">
        <w:rPr>
          <w:rFonts w:ascii="Arial" w:eastAsia="Times New Roman" w:hAnsi="Arial" w:cs="Arial"/>
          <w:color w:val="2F2F2F"/>
          <w:sz w:val="18"/>
          <w:szCs w:val="18"/>
          <w:lang w:eastAsia="es-MX"/>
        </w:rPr>
        <w:t>RELACIÓN LABORAL.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DÉCIMA SEGUNDA.</w:t>
      </w:r>
      <w:r w:rsidRPr="00480302">
        <w:rPr>
          <w:rFonts w:ascii="Arial" w:eastAsia="Times New Roman" w:hAnsi="Arial" w:cs="Arial"/>
          <w:color w:val="2F2F2F"/>
          <w:sz w:val="18"/>
          <w:szCs w:val="18"/>
          <w:lang w:eastAsia="es-MX"/>
        </w:rPr>
        <w:t> SANCIONES POR EL INCUMPLIMIENTO. Cuando "LA SECRETARÍA" detecte incumplimiento en el desarrollo de los Proyectos presentados o inconsistencias en el ejercicio de los recursos, procederá conforme al numeral Trigésimo sexto de los Lineamientos, y en su caso se dará por terminado el presente Convenio conforme a lo señalado en el capítulo IX de los Lineamientos.</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color w:val="2F2F2F"/>
          <w:sz w:val="18"/>
          <w:szCs w:val="18"/>
          <w:lang w:eastAsia="es-MX"/>
        </w:rPr>
        <w:t>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DÉCIMA TERCERA.</w:t>
      </w:r>
      <w:r w:rsidRPr="00480302">
        <w:rPr>
          <w:rFonts w:ascii="Arial" w:eastAsia="Times New Roman" w:hAnsi="Arial" w:cs="Arial"/>
          <w:color w:val="2F2F2F"/>
          <w:sz w:val="18"/>
          <w:szCs w:val="18"/>
          <w:lang w:eastAsia="es-MX"/>
        </w:rPr>
        <w:t xml:space="preserve"> FISCALIZACIÓN. 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w:t>
      </w:r>
      <w:r w:rsidRPr="00480302">
        <w:rPr>
          <w:rFonts w:ascii="Arial" w:eastAsia="Times New Roman" w:hAnsi="Arial" w:cs="Arial"/>
          <w:color w:val="2F2F2F"/>
          <w:sz w:val="18"/>
          <w:szCs w:val="18"/>
          <w:lang w:eastAsia="es-MX"/>
        </w:rPr>
        <w:lastRenderedPageBreak/>
        <w:t>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color w:val="2F2F2F"/>
          <w:sz w:val="18"/>
          <w:szCs w:val="18"/>
          <w:lang w:eastAsia="es-MX"/>
        </w:rPr>
        <w:t>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DÉCIMA CUARTA.</w:t>
      </w:r>
      <w:r w:rsidRPr="00480302">
        <w:rPr>
          <w:rFonts w:ascii="Arial" w:eastAsia="Times New Roman" w:hAnsi="Arial" w:cs="Arial"/>
          <w:color w:val="2F2F2F"/>
          <w:sz w:val="18"/>
          <w:szCs w:val="18"/>
          <w:lang w:eastAsia="es-MX"/>
        </w:rPr>
        <w:t> CASO FORTUITO O FUERZA MAYOR. 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DÉCIMA QUINTA. </w:t>
      </w:r>
      <w:r w:rsidRPr="00480302">
        <w:rPr>
          <w:rFonts w:ascii="Arial" w:eastAsia="Times New Roman" w:hAnsi="Arial" w:cs="Arial"/>
          <w:color w:val="2F2F2F"/>
          <w:sz w:val="18"/>
          <w:szCs w:val="18"/>
          <w:lang w:eastAsia="es-MX"/>
        </w:rPr>
        <w:t>MODIFICACIONES O ADICIONES. Dentro de los primeros dos meses posteriores a la publicación del Convenio de Coordinación, y hasta en dos ocasiones "EL GOBIERNO DEL ESTADO" podrá solicitar a la UERSJL de "LA SECRETARÍA", se someta a consideración del Comité de Evaluación, la modificación del presente instrumento conforme a lo dispuesto en el numeral Vigésimo sexto de los Lineamientos.</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color w:val="2F2F2F"/>
          <w:sz w:val="18"/>
          <w:szCs w:val="18"/>
          <w:lang w:eastAsia="es-MX"/>
        </w:rPr>
        <w:t>Los cambios a los Convenios de Coordinación que "EL GOBIERNO DEL ESTADO" pretenda realizar solo podrán llevarse a cabo bajo los siguientes supuestos:</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a)</w:t>
      </w:r>
      <w:r w:rsidRPr="00480302">
        <w:rPr>
          <w:rFonts w:ascii="Arial" w:eastAsia="Times New Roman" w:hAnsi="Arial" w:cs="Arial"/>
          <w:color w:val="2F2F2F"/>
          <w:sz w:val="18"/>
          <w:szCs w:val="18"/>
          <w:lang w:eastAsia="es-MX"/>
        </w:rPr>
        <w:t> La adición o eliminación de algún rubro en los Proyectos; y</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b)</w:t>
      </w:r>
      <w:r w:rsidRPr="00480302">
        <w:rPr>
          <w:rFonts w:ascii="Arial" w:eastAsia="Times New Roman" w:hAnsi="Arial" w:cs="Arial"/>
          <w:color w:val="2F2F2F"/>
          <w:sz w:val="18"/>
          <w:szCs w:val="18"/>
          <w:lang w:eastAsia="es-MX"/>
        </w:rPr>
        <w:t> La modificación de los montos destinados a cada rubro de los diferentes Proyectos.</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color w:val="2F2F2F"/>
          <w:sz w:val="18"/>
          <w:szCs w:val="18"/>
          <w:lang w:eastAsia="es-MX"/>
        </w:rPr>
        <w:t>Asimismo, deberán contemplar los objetivos establecidos en la Solicitud de acceso al subsidio.</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color w:val="2F2F2F"/>
          <w:sz w:val="18"/>
          <w:szCs w:val="18"/>
          <w:lang w:eastAsia="es-MX"/>
        </w:rPr>
        <w:t>Los Convenios Modificatorios deberán presentarse al Comité para su evaluación y, de ser el caso, para la aprobación de los cambios a los Proyectos. El Convenio modificatorio se publicará en el DOF en los términos del Lineamiento Vigésimo cuarto de los Lineamientos.</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DÉCIMA SEXTA.</w:t>
      </w:r>
      <w:r w:rsidRPr="00480302">
        <w:rPr>
          <w:rFonts w:ascii="Arial" w:eastAsia="Times New Roman" w:hAnsi="Arial" w:cs="Arial"/>
          <w:color w:val="2F2F2F"/>
          <w:sz w:val="18"/>
          <w:szCs w:val="18"/>
          <w:lang w:eastAsia="es-MX"/>
        </w:rPr>
        <w:t> TERMINACIÓN ANTICIPADA. El presente Convenio de Coordinación podrá darse por terminado anticipadamente, cuando se presente alguno de los siguientes supuestos:</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a)</w:t>
      </w:r>
      <w:r w:rsidRPr="00480302">
        <w:rPr>
          <w:rFonts w:ascii="Arial" w:eastAsia="Times New Roman" w:hAnsi="Arial" w:cs="Arial"/>
          <w:color w:val="2F2F2F"/>
          <w:sz w:val="18"/>
          <w:szCs w:val="18"/>
          <w:lang w:eastAsia="es-MX"/>
        </w:rPr>
        <w:t> Por estar satisfecho el objeto para el que fue celebrado, siempre que no existan obligaciones pendientes de cumplir por "LAS PARTES" y, en su caso, se haya realizado el reintegro de los recursos y rendimientos financieros que procedan.</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b)</w:t>
      </w:r>
      <w:r w:rsidRPr="00480302">
        <w:rPr>
          <w:rFonts w:ascii="Arial" w:eastAsia="Times New Roman" w:hAnsi="Arial" w:cs="Arial"/>
          <w:color w:val="2F2F2F"/>
          <w:sz w:val="18"/>
          <w:szCs w:val="18"/>
          <w:lang w:eastAsia="es-MX"/>
        </w:rPr>
        <w:t> En caso de que no se subsanen las inconsistencias que haya detectado "LA SECRETARÍA" a través de la UERSJL en los reportes trimestrales que presente "EL GOBIERNO DEL ESTADO".</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color w:val="2F2F2F"/>
          <w:sz w:val="18"/>
          <w:szCs w:val="18"/>
          <w:lang w:eastAsia="es-MX"/>
        </w:rPr>
        <w:t>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DÉCIMA SÉPTIMA.</w:t>
      </w:r>
      <w:r w:rsidRPr="00480302">
        <w:rPr>
          <w:rFonts w:ascii="Arial" w:eastAsia="Times New Roman" w:hAnsi="Arial" w:cs="Arial"/>
          <w:color w:val="2F2F2F"/>
          <w:sz w:val="18"/>
          <w:szCs w:val="18"/>
          <w:lang w:eastAsia="es-MX"/>
        </w:rPr>
        <w:t> VIGENCIA. El presente Convenio entrará en vigor a partir del día de su firma y permanecerá vigente hasta el 31 de diciembre de 2023.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DÉCIMA OCTAVA.</w:t>
      </w:r>
      <w:r w:rsidRPr="00480302">
        <w:rPr>
          <w:rFonts w:ascii="Arial" w:eastAsia="Times New Roman" w:hAnsi="Arial" w:cs="Arial"/>
          <w:color w:val="2F2F2F"/>
          <w:sz w:val="18"/>
          <w:szCs w:val="18"/>
          <w:lang w:eastAsia="es-MX"/>
        </w:rPr>
        <w:t> SOLUCIÓN DE CONTROVERSIAS. "LAS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DÉCIMA NOVENA.</w:t>
      </w:r>
      <w:r w:rsidRPr="00480302">
        <w:rPr>
          <w:rFonts w:ascii="Arial" w:eastAsia="Times New Roman" w:hAnsi="Arial" w:cs="Arial"/>
          <w:color w:val="2F2F2F"/>
          <w:sz w:val="18"/>
          <w:szCs w:val="18"/>
          <w:lang w:eastAsia="es-MX"/>
        </w:rPr>
        <w:t> TRANSPARENCIA. "LAS PARTES" se comprometen a cumplir con las disposiciones que establece la Ley General de Transparencia y Acceso a la Información Pública, la Ley Federal de Transparencia y Acceso a la Información Pública y su Reglamento.</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color w:val="2F2F2F"/>
          <w:sz w:val="18"/>
          <w:szCs w:val="18"/>
          <w:lang w:eastAsia="es-MX"/>
        </w:rPr>
        <w:t xml:space="preserve">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w:t>
      </w:r>
      <w:r w:rsidRPr="00480302">
        <w:rPr>
          <w:rFonts w:ascii="Arial" w:eastAsia="Times New Roman" w:hAnsi="Arial" w:cs="Arial"/>
          <w:color w:val="2F2F2F"/>
          <w:sz w:val="18"/>
          <w:szCs w:val="18"/>
          <w:lang w:eastAsia="es-MX"/>
        </w:rPr>
        <w:lastRenderedPageBreak/>
        <w:t>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color w:val="2F2F2F"/>
          <w:sz w:val="18"/>
          <w:szCs w:val="18"/>
          <w:lang w:eastAsia="es-MX"/>
        </w:rPr>
        <w:t>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deben abstenerse de llevar acabo cualquier tipo de tratamiento sobre los mismos.</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b/>
          <w:bCs/>
          <w:color w:val="2F2F2F"/>
          <w:sz w:val="18"/>
          <w:szCs w:val="18"/>
          <w:lang w:eastAsia="es-MX"/>
        </w:rPr>
        <w:t>VIGÉSIMA.</w:t>
      </w:r>
      <w:r w:rsidRPr="00480302">
        <w:rPr>
          <w:rFonts w:ascii="Arial" w:eastAsia="Times New Roman" w:hAnsi="Arial" w:cs="Arial"/>
          <w:color w:val="2F2F2F"/>
          <w:sz w:val="18"/>
          <w:szCs w:val="18"/>
          <w:lang w:eastAsia="es-MX"/>
        </w:rPr>
        <w:t> NOTIFICACIONES. "LAS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de la dirección reforma.laboral@stps.gob.mx y por medio de la Plataforma habilitada. Cualquier cambio de domicilio que "LAS PARTES" efectúen en lo sucesivo, lo deberán notificar por escrito y en forma indubitable a la otra Parte, por lo menos con 10 días hábiles de anticipación.</w:t>
      </w:r>
    </w:p>
    <w:p w:rsidR="00480302" w:rsidRPr="00480302" w:rsidRDefault="00480302" w:rsidP="00480302">
      <w:pPr>
        <w:shd w:val="clear" w:color="auto" w:fill="FFFFFF"/>
        <w:spacing w:after="101" w:line="240" w:lineRule="auto"/>
        <w:ind w:firstLine="288"/>
        <w:jc w:val="both"/>
        <w:rPr>
          <w:rFonts w:ascii="Arial" w:eastAsia="Times New Roman" w:hAnsi="Arial" w:cs="Arial"/>
          <w:color w:val="2F2F2F"/>
          <w:sz w:val="18"/>
          <w:szCs w:val="18"/>
          <w:lang w:eastAsia="es-MX"/>
        </w:rPr>
      </w:pPr>
      <w:r w:rsidRPr="00480302">
        <w:rPr>
          <w:rFonts w:ascii="Arial" w:eastAsia="Times New Roman" w:hAnsi="Arial" w:cs="Arial"/>
          <w:color w:val="2F2F2F"/>
          <w:sz w:val="18"/>
          <w:szCs w:val="18"/>
          <w:lang w:eastAsia="es-MX"/>
        </w:rPr>
        <w:t>Leído y ratificado el presente instrumento jurídico y enteradas las partes de su contenido, alcance y fuerza legal, lo suscriben en 6 ejemplares en la Ciudad de México, a los 13 días del mes de septiembre de dos mil veintitrés.- Por la Secretaría: Titular de la Unidad de Enlace para la Reforma al Sistema de Justicia Laboral, </w:t>
      </w:r>
      <w:proofErr w:type="spellStart"/>
      <w:r w:rsidRPr="00480302">
        <w:rPr>
          <w:rFonts w:ascii="Arial" w:eastAsia="Times New Roman" w:hAnsi="Arial" w:cs="Arial"/>
          <w:b/>
          <w:bCs/>
          <w:color w:val="2F2F2F"/>
          <w:sz w:val="18"/>
          <w:szCs w:val="18"/>
          <w:lang w:eastAsia="es-MX"/>
        </w:rPr>
        <w:t>Tey</w:t>
      </w:r>
      <w:proofErr w:type="spellEnd"/>
      <w:r w:rsidRPr="00480302">
        <w:rPr>
          <w:rFonts w:ascii="Arial" w:eastAsia="Times New Roman" w:hAnsi="Arial" w:cs="Arial"/>
          <w:b/>
          <w:bCs/>
          <w:color w:val="2F2F2F"/>
          <w:sz w:val="18"/>
          <w:szCs w:val="18"/>
          <w:lang w:eastAsia="es-MX"/>
        </w:rPr>
        <w:t xml:space="preserve"> </w:t>
      </w:r>
      <w:proofErr w:type="spellStart"/>
      <w:r w:rsidRPr="00480302">
        <w:rPr>
          <w:rFonts w:ascii="Arial" w:eastAsia="Times New Roman" w:hAnsi="Arial" w:cs="Arial"/>
          <w:b/>
          <w:bCs/>
          <w:color w:val="2F2F2F"/>
          <w:sz w:val="18"/>
          <w:szCs w:val="18"/>
          <w:lang w:eastAsia="es-MX"/>
        </w:rPr>
        <w:t>Wendolyne</w:t>
      </w:r>
      <w:proofErr w:type="spellEnd"/>
      <w:r w:rsidRPr="00480302">
        <w:rPr>
          <w:rFonts w:ascii="Arial" w:eastAsia="Times New Roman" w:hAnsi="Arial" w:cs="Arial"/>
          <w:b/>
          <w:bCs/>
          <w:color w:val="2F2F2F"/>
          <w:sz w:val="18"/>
          <w:szCs w:val="18"/>
          <w:lang w:eastAsia="es-MX"/>
        </w:rPr>
        <w:t xml:space="preserve"> Retana Alarcón</w:t>
      </w:r>
      <w:r w:rsidRPr="00480302">
        <w:rPr>
          <w:rFonts w:ascii="Arial" w:eastAsia="Times New Roman" w:hAnsi="Arial" w:cs="Arial"/>
          <w:color w:val="2F2F2F"/>
          <w:sz w:val="18"/>
          <w:szCs w:val="18"/>
          <w:lang w:eastAsia="es-MX"/>
        </w:rPr>
        <w:t>.- Rúbrica.- Titular de la Unidad de Administración y Finanzas, </w:t>
      </w:r>
      <w:proofErr w:type="spellStart"/>
      <w:r w:rsidRPr="00480302">
        <w:rPr>
          <w:rFonts w:ascii="Arial" w:eastAsia="Times New Roman" w:hAnsi="Arial" w:cs="Arial"/>
          <w:b/>
          <w:bCs/>
          <w:color w:val="2F2F2F"/>
          <w:sz w:val="18"/>
          <w:szCs w:val="18"/>
          <w:lang w:eastAsia="es-MX"/>
        </w:rPr>
        <w:t>Hanzel</w:t>
      </w:r>
      <w:proofErr w:type="spellEnd"/>
      <w:r w:rsidRPr="00480302">
        <w:rPr>
          <w:rFonts w:ascii="Arial" w:eastAsia="Times New Roman" w:hAnsi="Arial" w:cs="Arial"/>
          <w:b/>
          <w:bCs/>
          <w:color w:val="2F2F2F"/>
          <w:sz w:val="18"/>
          <w:szCs w:val="18"/>
          <w:lang w:eastAsia="es-MX"/>
        </w:rPr>
        <w:t xml:space="preserve"> Homero </w:t>
      </w:r>
      <w:proofErr w:type="spellStart"/>
      <w:r w:rsidRPr="00480302">
        <w:rPr>
          <w:rFonts w:ascii="Arial" w:eastAsia="Times New Roman" w:hAnsi="Arial" w:cs="Arial"/>
          <w:b/>
          <w:bCs/>
          <w:color w:val="2F2F2F"/>
          <w:sz w:val="18"/>
          <w:szCs w:val="18"/>
          <w:lang w:eastAsia="es-MX"/>
        </w:rPr>
        <w:t>Alvizar</w:t>
      </w:r>
      <w:proofErr w:type="spellEnd"/>
      <w:r w:rsidRPr="00480302">
        <w:rPr>
          <w:rFonts w:ascii="Arial" w:eastAsia="Times New Roman" w:hAnsi="Arial" w:cs="Arial"/>
          <w:b/>
          <w:bCs/>
          <w:color w:val="2F2F2F"/>
          <w:sz w:val="18"/>
          <w:szCs w:val="18"/>
          <w:lang w:eastAsia="es-MX"/>
        </w:rPr>
        <w:t xml:space="preserve"> Bañuelos</w:t>
      </w:r>
      <w:r w:rsidRPr="00480302">
        <w:rPr>
          <w:rFonts w:ascii="Arial" w:eastAsia="Times New Roman" w:hAnsi="Arial" w:cs="Arial"/>
          <w:color w:val="2F2F2F"/>
          <w:sz w:val="18"/>
          <w:szCs w:val="18"/>
          <w:lang w:eastAsia="es-MX"/>
        </w:rPr>
        <w:t>.- Rúbrica.- Gobierno del Estado de Tabasco: Magistrado Presidente del Poder Judicial del Estado Tabasco, </w:t>
      </w:r>
      <w:r w:rsidRPr="00480302">
        <w:rPr>
          <w:rFonts w:ascii="Arial" w:eastAsia="Times New Roman" w:hAnsi="Arial" w:cs="Arial"/>
          <w:b/>
          <w:bCs/>
          <w:color w:val="2F2F2F"/>
          <w:sz w:val="18"/>
          <w:szCs w:val="18"/>
          <w:lang w:eastAsia="es-MX"/>
        </w:rPr>
        <w:t>Enrique Priego Oropeza</w:t>
      </w:r>
      <w:r w:rsidRPr="00480302">
        <w:rPr>
          <w:rFonts w:ascii="Arial" w:eastAsia="Times New Roman" w:hAnsi="Arial" w:cs="Arial"/>
          <w:color w:val="2F2F2F"/>
          <w:sz w:val="18"/>
          <w:szCs w:val="18"/>
          <w:lang w:eastAsia="es-MX"/>
        </w:rPr>
        <w:t>.- Rúbrica.- Secretario de Finanzas del Estado de Tabasco, </w:t>
      </w:r>
      <w:r w:rsidRPr="00480302">
        <w:rPr>
          <w:rFonts w:ascii="Arial" w:eastAsia="Times New Roman" w:hAnsi="Arial" w:cs="Arial"/>
          <w:b/>
          <w:bCs/>
          <w:color w:val="2F2F2F"/>
          <w:sz w:val="18"/>
          <w:szCs w:val="18"/>
          <w:lang w:eastAsia="es-MX"/>
        </w:rPr>
        <w:t xml:space="preserve">Luis Romeo Gurría </w:t>
      </w:r>
      <w:proofErr w:type="spellStart"/>
      <w:r w:rsidRPr="00480302">
        <w:rPr>
          <w:rFonts w:ascii="Arial" w:eastAsia="Times New Roman" w:hAnsi="Arial" w:cs="Arial"/>
          <w:b/>
          <w:bCs/>
          <w:color w:val="2F2F2F"/>
          <w:sz w:val="18"/>
          <w:szCs w:val="18"/>
          <w:lang w:eastAsia="es-MX"/>
        </w:rPr>
        <w:t>Gurría</w:t>
      </w:r>
      <w:proofErr w:type="spellEnd"/>
      <w:r w:rsidRPr="00480302">
        <w:rPr>
          <w:rFonts w:ascii="Arial" w:eastAsia="Times New Roman" w:hAnsi="Arial" w:cs="Arial"/>
          <w:color w:val="2F2F2F"/>
          <w:sz w:val="18"/>
          <w:szCs w:val="18"/>
          <w:lang w:eastAsia="es-MX"/>
        </w:rPr>
        <w:t>.- Rúbrica.</w:t>
      </w:r>
    </w:p>
    <w:p w:rsidR="00480302" w:rsidRDefault="00480302" w:rsidP="00480302">
      <w:pPr>
        <w:jc w:val="both"/>
      </w:pPr>
    </w:p>
    <w:sectPr w:rsidR="004803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302"/>
    <w:rsid w:val="00480302"/>
    <w:rsid w:val="009C6C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3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3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44002">
      <w:bodyDiv w:val="1"/>
      <w:marLeft w:val="0"/>
      <w:marRight w:val="0"/>
      <w:marTop w:val="0"/>
      <w:marBottom w:val="0"/>
      <w:divBdr>
        <w:top w:val="none" w:sz="0" w:space="0" w:color="auto"/>
        <w:left w:val="none" w:sz="0" w:space="0" w:color="auto"/>
        <w:bottom w:val="none" w:sz="0" w:space="0" w:color="auto"/>
        <w:right w:val="none" w:sz="0" w:space="0" w:color="auto"/>
      </w:divBdr>
      <w:divsChild>
        <w:div w:id="1244416618">
          <w:marLeft w:val="0"/>
          <w:marRight w:val="0"/>
          <w:marTop w:val="101"/>
          <w:marBottom w:val="101"/>
          <w:divBdr>
            <w:top w:val="none" w:sz="0" w:space="0" w:color="auto"/>
            <w:left w:val="none" w:sz="0" w:space="0" w:color="auto"/>
            <w:bottom w:val="none" w:sz="0" w:space="0" w:color="auto"/>
            <w:right w:val="none" w:sz="0" w:space="0" w:color="auto"/>
          </w:divBdr>
        </w:div>
        <w:div w:id="1591815632">
          <w:marLeft w:val="0"/>
          <w:marRight w:val="0"/>
          <w:marTop w:val="0"/>
          <w:marBottom w:val="101"/>
          <w:divBdr>
            <w:top w:val="none" w:sz="0" w:space="0" w:color="auto"/>
            <w:left w:val="none" w:sz="0" w:space="0" w:color="auto"/>
            <w:bottom w:val="none" w:sz="0" w:space="0" w:color="auto"/>
            <w:right w:val="none" w:sz="0" w:space="0" w:color="auto"/>
          </w:divBdr>
        </w:div>
        <w:div w:id="321546895">
          <w:marLeft w:val="0"/>
          <w:marRight w:val="0"/>
          <w:marTop w:val="0"/>
          <w:marBottom w:val="101"/>
          <w:divBdr>
            <w:top w:val="none" w:sz="0" w:space="0" w:color="auto"/>
            <w:left w:val="none" w:sz="0" w:space="0" w:color="auto"/>
            <w:bottom w:val="none" w:sz="0" w:space="0" w:color="auto"/>
            <w:right w:val="none" w:sz="0" w:space="0" w:color="auto"/>
          </w:divBdr>
        </w:div>
        <w:div w:id="132408333">
          <w:marLeft w:val="0"/>
          <w:marRight w:val="0"/>
          <w:marTop w:val="0"/>
          <w:marBottom w:val="101"/>
          <w:divBdr>
            <w:top w:val="none" w:sz="0" w:space="0" w:color="auto"/>
            <w:left w:val="none" w:sz="0" w:space="0" w:color="auto"/>
            <w:bottom w:val="none" w:sz="0" w:space="0" w:color="auto"/>
            <w:right w:val="none" w:sz="0" w:space="0" w:color="auto"/>
          </w:divBdr>
        </w:div>
        <w:div w:id="1812483018">
          <w:marLeft w:val="0"/>
          <w:marRight w:val="0"/>
          <w:marTop w:val="0"/>
          <w:marBottom w:val="101"/>
          <w:divBdr>
            <w:top w:val="none" w:sz="0" w:space="0" w:color="auto"/>
            <w:left w:val="none" w:sz="0" w:space="0" w:color="auto"/>
            <w:bottom w:val="none" w:sz="0" w:space="0" w:color="auto"/>
            <w:right w:val="none" w:sz="0" w:space="0" w:color="auto"/>
          </w:divBdr>
        </w:div>
        <w:div w:id="889192513">
          <w:marLeft w:val="0"/>
          <w:marRight w:val="0"/>
          <w:marTop w:val="0"/>
          <w:marBottom w:val="101"/>
          <w:divBdr>
            <w:top w:val="none" w:sz="0" w:space="0" w:color="auto"/>
            <w:left w:val="none" w:sz="0" w:space="0" w:color="auto"/>
            <w:bottom w:val="none" w:sz="0" w:space="0" w:color="auto"/>
            <w:right w:val="none" w:sz="0" w:space="0" w:color="auto"/>
          </w:divBdr>
        </w:div>
        <w:div w:id="1335571290">
          <w:marLeft w:val="0"/>
          <w:marRight w:val="0"/>
          <w:marTop w:val="0"/>
          <w:marBottom w:val="101"/>
          <w:divBdr>
            <w:top w:val="none" w:sz="0" w:space="0" w:color="auto"/>
            <w:left w:val="none" w:sz="0" w:space="0" w:color="auto"/>
            <w:bottom w:val="none" w:sz="0" w:space="0" w:color="auto"/>
            <w:right w:val="none" w:sz="0" w:space="0" w:color="auto"/>
          </w:divBdr>
        </w:div>
        <w:div w:id="523401167">
          <w:marLeft w:val="0"/>
          <w:marRight w:val="0"/>
          <w:marTop w:val="0"/>
          <w:marBottom w:val="101"/>
          <w:divBdr>
            <w:top w:val="none" w:sz="0" w:space="0" w:color="auto"/>
            <w:left w:val="none" w:sz="0" w:space="0" w:color="auto"/>
            <w:bottom w:val="none" w:sz="0" w:space="0" w:color="auto"/>
            <w:right w:val="none" w:sz="0" w:space="0" w:color="auto"/>
          </w:divBdr>
        </w:div>
        <w:div w:id="1776636021">
          <w:marLeft w:val="0"/>
          <w:marRight w:val="0"/>
          <w:marTop w:val="0"/>
          <w:marBottom w:val="101"/>
          <w:divBdr>
            <w:top w:val="none" w:sz="0" w:space="0" w:color="auto"/>
            <w:left w:val="none" w:sz="0" w:space="0" w:color="auto"/>
            <w:bottom w:val="none" w:sz="0" w:space="0" w:color="auto"/>
            <w:right w:val="none" w:sz="0" w:space="0" w:color="auto"/>
          </w:divBdr>
        </w:div>
        <w:div w:id="1033922925">
          <w:marLeft w:val="0"/>
          <w:marRight w:val="0"/>
          <w:marTop w:val="0"/>
          <w:marBottom w:val="101"/>
          <w:divBdr>
            <w:top w:val="none" w:sz="0" w:space="0" w:color="auto"/>
            <w:left w:val="none" w:sz="0" w:space="0" w:color="auto"/>
            <w:bottom w:val="none" w:sz="0" w:space="0" w:color="auto"/>
            <w:right w:val="none" w:sz="0" w:space="0" w:color="auto"/>
          </w:divBdr>
        </w:div>
        <w:div w:id="637346397">
          <w:marLeft w:val="0"/>
          <w:marRight w:val="0"/>
          <w:marTop w:val="0"/>
          <w:marBottom w:val="101"/>
          <w:divBdr>
            <w:top w:val="none" w:sz="0" w:space="0" w:color="auto"/>
            <w:left w:val="none" w:sz="0" w:space="0" w:color="auto"/>
            <w:bottom w:val="none" w:sz="0" w:space="0" w:color="auto"/>
            <w:right w:val="none" w:sz="0" w:space="0" w:color="auto"/>
          </w:divBdr>
        </w:div>
        <w:div w:id="1628470506">
          <w:marLeft w:val="0"/>
          <w:marRight w:val="0"/>
          <w:marTop w:val="0"/>
          <w:marBottom w:val="101"/>
          <w:divBdr>
            <w:top w:val="none" w:sz="0" w:space="0" w:color="auto"/>
            <w:left w:val="none" w:sz="0" w:space="0" w:color="auto"/>
            <w:bottom w:val="none" w:sz="0" w:space="0" w:color="auto"/>
            <w:right w:val="none" w:sz="0" w:space="0" w:color="auto"/>
          </w:divBdr>
        </w:div>
        <w:div w:id="1559903642">
          <w:marLeft w:val="0"/>
          <w:marRight w:val="0"/>
          <w:marTop w:val="0"/>
          <w:marBottom w:val="101"/>
          <w:divBdr>
            <w:top w:val="none" w:sz="0" w:space="0" w:color="auto"/>
            <w:left w:val="none" w:sz="0" w:space="0" w:color="auto"/>
            <w:bottom w:val="none" w:sz="0" w:space="0" w:color="auto"/>
            <w:right w:val="none" w:sz="0" w:space="0" w:color="auto"/>
          </w:divBdr>
        </w:div>
        <w:div w:id="1469475522">
          <w:marLeft w:val="0"/>
          <w:marRight w:val="0"/>
          <w:marTop w:val="0"/>
          <w:marBottom w:val="101"/>
          <w:divBdr>
            <w:top w:val="none" w:sz="0" w:space="0" w:color="auto"/>
            <w:left w:val="none" w:sz="0" w:space="0" w:color="auto"/>
            <w:bottom w:val="none" w:sz="0" w:space="0" w:color="auto"/>
            <w:right w:val="none" w:sz="0" w:space="0" w:color="auto"/>
          </w:divBdr>
        </w:div>
        <w:div w:id="1021469201">
          <w:marLeft w:val="0"/>
          <w:marRight w:val="0"/>
          <w:marTop w:val="0"/>
          <w:marBottom w:val="101"/>
          <w:divBdr>
            <w:top w:val="none" w:sz="0" w:space="0" w:color="auto"/>
            <w:left w:val="none" w:sz="0" w:space="0" w:color="auto"/>
            <w:bottom w:val="none" w:sz="0" w:space="0" w:color="auto"/>
            <w:right w:val="none" w:sz="0" w:space="0" w:color="auto"/>
          </w:divBdr>
        </w:div>
        <w:div w:id="1100101379">
          <w:marLeft w:val="0"/>
          <w:marRight w:val="0"/>
          <w:marTop w:val="0"/>
          <w:marBottom w:val="101"/>
          <w:divBdr>
            <w:top w:val="none" w:sz="0" w:space="0" w:color="auto"/>
            <w:left w:val="none" w:sz="0" w:space="0" w:color="auto"/>
            <w:bottom w:val="none" w:sz="0" w:space="0" w:color="auto"/>
            <w:right w:val="none" w:sz="0" w:space="0" w:color="auto"/>
          </w:divBdr>
        </w:div>
        <w:div w:id="155995276">
          <w:marLeft w:val="0"/>
          <w:marRight w:val="0"/>
          <w:marTop w:val="0"/>
          <w:marBottom w:val="101"/>
          <w:divBdr>
            <w:top w:val="none" w:sz="0" w:space="0" w:color="auto"/>
            <w:left w:val="none" w:sz="0" w:space="0" w:color="auto"/>
            <w:bottom w:val="none" w:sz="0" w:space="0" w:color="auto"/>
            <w:right w:val="none" w:sz="0" w:space="0" w:color="auto"/>
          </w:divBdr>
        </w:div>
        <w:div w:id="1190073465">
          <w:marLeft w:val="0"/>
          <w:marRight w:val="0"/>
          <w:marTop w:val="0"/>
          <w:marBottom w:val="101"/>
          <w:divBdr>
            <w:top w:val="none" w:sz="0" w:space="0" w:color="auto"/>
            <w:left w:val="none" w:sz="0" w:space="0" w:color="auto"/>
            <w:bottom w:val="none" w:sz="0" w:space="0" w:color="auto"/>
            <w:right w:val="none" w:sz="0" w:space="0" w:color="auto"/>
          </w:divBdr>
        </w:div>
        <w:div w:id="2032221680">
          <w:marLeft w:val="0"/>
          <w:marRight w:val="0"/>
          <w:marTop w:val="0"/>
          <w:marBottom w:val="101"/>
          <w:divBdr>
            <w:top w:val="none" w:sz="0" w:space="0" w:color="auto"/>
            <w:left w:val="none" w:sz="0" w:space="0" w:color="auto"/>
            <w:bottom w:val="none" w:sz="0" w:space="0" w:color="auto"/>
            <w:right w:val="none" w:sz="0" w:space="0" w:color="auto"/>
          </w:divBdr>
        </w:div>
        <w:div w:id="1074623369">
          <w:marLeft w:val="0"/>
          <w:marRight w:val="0"/>
          <w:marTop w:val="101"/>
          <w:marBottom w:val="101"/>
          <w:divBdr>
            <w:top w:val="none" w:sz="0" w:space="0" w:color="auto"/>
            <w:left w:val="none" w:sz="0" w:space="0" w:color="auto"/>
            <w:bottom w:val="none" w:sz="0" w:space="0" w:color="auto"/>
            <w:right w:val="none" w:sz="0" w:space="0" w:color="auto"/>
          </w:divBdr>
        </w:div>
        <w:div w:id="1767386101">
          <w:marLeft w:val="0"/>
          <w:marRight w:val="0"/>
          <w:marTop w:val="0"/>
          <w:marBottom w:val="101"/>
          <w:divBdr>
            <w:top w:val="none" w:sz="0" w:space="0" w:color="auto"/>
            <w:left w:val="none" w:sz="0" w:space="0" w:color="auto"/>
            <w:bottom w:val="none" w:sz="0" w:space="0" w:color="auto"/>
            <w:right w:val="none" w:sz="0" w:space="0" w:color="auto"/>
          </w:divBdr>
        </w:div>
        <w:div w:id="1728066022">
          <w:marLeft w:val="0"/>
          <w:marRight w:val="0"/>
          <w:marTop w:val="0"/>
          <w:marBottom w:val="101"/>
          <w:divBdr>
            <w:top w:val="none" w:sz="0" w:space="0" w:color="auto"/>
            <w:left w:val="none" w:sz="0" w:space="0" w:color="auto"/>
            <w:bottom w:val="none" w:sz="0" w:space="0" w:color="auto"/>
            <w:right w:val="none" w:sz="0" w:space="0" w:color="auto"/>
          </w:divBdr>
        </w:div>
        <w:div w:id="1428309441">
          <w:marLeft w:val="0"/>
          <w:marRight w:val="0"/>
          <w:marTop w:val="0"/>
          <w:marBottom w:val="101"/>
          <w:divBdr>
            <w:top w:val="none" w:sz="0" w:space="0" w:color="auto"/>
            <w:left w:val="none" w:sz="0" w:space="0" w:color="auto"/>
            <w:bottom w:val="none" w:sz="0" w:space="0" w:color="auto"/>
            <w:right w:val="none" w:sz="0" w:space="0" w:color="auto"/>
          </w:divBdr>
        </w:div>
        <w:div w:id="348069072">
          <w:marLeft w:val="0"/>
          <w:marRight w:val="0"/>
          <w:marTop w:val="0"/>
          <w:marBottom w:val="101"/>
          <w:divBdr>
            <w:top w:val="none" w:sz="0" w:space="0" w:color="auto"/>
            <w:left w:val="none" w:sz="0" w:space="0" w:color="auto"/>
            <w:bottom w:val="none" w:sz="0" w:space="0" w:color="auto"/>
            <w:right w:val="none" w:sz="0" w:space="0" w:color="auto"/>
          </w:divBdr>
        </w:div>
        <w:div w:id="1515611308">
          <w:marLeft w:val="0"/>
          <w:marRight w:val="0"/>
          <w:marTop w:val="0"/>
          <w:marBottom w:val="101"/>
          <w:divBdr>
            <w:top w:val="none" w:sz="0" w:space="0" w:color="auto"/>
            <w:left w:val="none" w:sz="0" w:space="0" w:color="auto"/>
            <w:bottom w:val="none" w:sz="0" w:space="0" w:color="auto"/>
            <w:right w:val="none" w:sz="0" w:space="0" w:color="auto"/>
          </w:divBdr>
        </w:div>
        <w:div w:id="860970026">
          <w:marLeft w:val="0"/>
          <w:marRight w:val="0"/>
          <w:marTop w:val="0"/>
          <w:marBottom w:val="101"/>
          <w:divBdr>
            <w:top w:val="none" w:sz="0" w:space="0" w:color="auto"/>
            <w:left w:val="none" w:sz="0" w:space="0" w:color="auto"/>
            <w:bottom w:val="none" w:sz="0" w:space="0" w:color="auto"/>
            <w:right w:val="none" w:sz="0" w:space="0" w:color="auto"/>
          </w:divBdr>
        </w:div>
        <w:div w:id="1594819140">
          <w:marLeft w:val="0"/>
          <w:marRight w:val="0"/>
          <w:marTop w:val="0"/>
          <w:marBottom w:val="101"/>
          <w:divBdr>
            <w:top w:val="none" w:sz="0" w:space="0" w:color="auto"/>
            <w:left w:val="none" w:sz="0" w:space="0" w:color="auto"/>
            <w:bottom w:val="none" w:sz="0" w:space="0" w:color="auto"/>
            <w:right w:val="none" w:sz="0" w:space="0" w:color="auto"/>
          </w:divBdr>
        </w:div>
        <w:div w:id="1880362551">
          <w:marLeft w:val="0"/>
          <w:marRight w:val="0"/>
          <w:marTop w:val="0"/>
          <w:marBottom w:val="101"/>
          <w:divBdr>
            <w:top w:val="none" w:sz="0" w:space="0" w:color="auto"/>
            <w:left w:val="none" w:sz="0" w:space="0" w:color="auto"/>
            <w:bottom w:val="none" w:sz="0" w:space="0" w:color="auto"/>
            <w:right w:val="none" w:sz="0" w:space="0" w:color="auto"/>
          </w:divBdr>
        </w:div>
        <w:div w:id="1850561532">
          <w:marLeft w:val="0"/>
          <w:marRight w:val="0"/>
          <w:marTop w:val="0"/>
          <w:marBottom w:val="101"/>
          <w:divBdr>
            <w:top w:val="none" w:sz="0" w:space="0" w:color="auto"/>
            <w:left w:val="none" w:sz="0" w:space="0" w:color="auto"/>
            <w:bottom w:val="none" w:sz="0" w:space="0" w:color="auto"/>
            <w:right w:val="none" w:sz="0" w:space="0" w:color="auto"/>
          </w:divBdr>
        </w:div>
        <w:div w:id="133303603">
          <w:marLeft w:val="0"/>
          <w:marRight w:val="0"/>
          <w:marTop w:val="0"/>
          <w:marBottom w:val="101"/>
          <w:divBdr>
            <w:top w:val="none" w:sz="0" w:space="0" w:color="auto"/>
            <w:left w:val="none" w:sz="0" w:space="0" w:color="auto"/>
            <w:bottom w:val="none" w:sz="0" w:space="0" w:color="auto"/>
            <w:right w:val="none" w:sz="0" w:space="0" w:color="auto"/>
          </w:divBdr>
        </w:div>
        <w:div w:id="1832716528">
          <w:marLeft w:val="0"/>
          <w:marRight w:val="0"/>
          <w:marTop w:val="0"/>
          <w:marBottom w:val="101"/>
          <w:divBdr>
            <w:top w:val="none" w:sz="0" w:space="0" w:color="auto"/>
            <w:left w:val="none" w:sz="0" w:space="0" w:color="auto"/>
            <w:bottom w:val="none" w:sz="0" w:space="0" w:color="auto"/>
            <w:right w:val="none" w:sz="0" w:space="0" w:color="auto"/>
          </w:divBdr>
        </w:div>
        <w:div w:id="1880240772">
          <w:marLeft w:val="0"/>
          <w:marRight w:val="0"/>
          <w:marTop w:val="0"/>
          <w:marBottom w:val="101"/>
          <w:divBdr>
            <w:top w:val="none" w:sz="0" w:space="0" w:color="auto"/>
            <w:left w:val="none" w:sz="0" w:space="0" w:color="auto"/>
            <w:bottom w:val="none" w:sz="0" w:space="0" w:color="auto"/>
            <w:right w:val="none" w:sz="0" w:space="0" w:color="auto"/>
          </w:divBdr>
        </w:div>
        <w:div w:id="2042239394">
          <w:marLeft w:val="0"/>
          <w:marRight w:val="0"/>
          <w:marTop w:val="0"/>
          <w:marBottom w:val="101"/>
          <w:divBdr>
            <w:top w:val="none" w:sz="0" w:space="0" w:color="auto"/>
            <w:left w:val="none" w:sz="0" w:space="0" w:color="auto"/>
            <w:bottom w:val="none" w:sz="0" w:space="0" w:color="auto"/>
            <w:right w:val="none" w:sz="0" w:space="0" w:color="auto"/>
          </w:divBdr>
        </w:div>
        <w:div w:id="1679230967">
          <w:marLeft w:val="0"/>
          <w:marRight w:val="0"/>
          <w:marTop w:val="0"/>
          <w:marBottom w:val="101"/>
          <w:divBdr>
            <w:top w:val="none" w:sz="0" w:space="0" w:color="auto"/>
            <w:left w:val="none" w:sz="0" w:space="0" w:color="auto"/>
            <w:bottom w:val="none" w:sz="0" w:space="0" w:color="auto"/>
            <w:right w:val="none" w:sz="0" w:space="0" w:color="auto"/>
          </w:divBdr>
        </w:div>
        <w:div w:id="553931119">
          <w:marLeft w:val="0"/>
          <w:marRight w:val="0"/>
          <w:marTop w:val="0"/>
          <w:marBottom w:val="101"/>
          <w:divBdr>
            <w:top w:val="none" w:sz="0" w:space="0" w:color="auto"/>
            <w:left w:val="none" w:sz="0" w:space="0" w:color="auto"/>
            <w:bottom w:val="none" w:sz="0" w:space="0" w:color="auto"/>
            <w:right w:val="none" w:sz="0" w:space="0" w:color="auto"/>
          </w:divBdr>
        </w:div>
        <w:div w:id="1071123441">
          <w:marLeft w:val="0"/>
          <w:marRight w:val="0"/>
          <w:marTop w:val="0"/>
          <w:marBottom w:val="101"/>
          <w:divBdr>
            <w:top w:val="none" w:sz="0" w:space="0" w:color="auto"/>
            <w:left w:val="none" w:sz="0" w:space="0" w:color="auto"/>
            <w:bottom w:val="none" w:sz="0" w:space="0" w:color="auto"/>
            <w:right w:val="none" w:sz="0" w:space="0" w:color="auto"/>
          </w:divBdr>
        </w:div>
        <w:div w:id="552543680">
          <w:marLeft w:val="0"/>
          <w:marRight w:val="0"/>
          <w:marTop w:val="0"/>
          <w:marBottom w:val="101"/>
          <w:divBdr>
            <w:top w:val="none" w:sz="0" w:space="0" w:color="auto"/>
            <w:left w:val="none" w:sz="0" w:space="0" w:color="auto"/>
            <w:bottom w:val="none" w:sz="0" w:space="0" w:color="auto"/>
            <w:right w:val="none" w:sz="0" w:space="0" w:color="auto"/>
          </w:divBdr>
        </w:div>
        <w:div w:id="1468619286">
          <w:marLeft w:val="0"/>
          <w:marRight w:val="0"/>
          <w:marTop w:val="0"/>
          <w:marBottom w:val="101"/>
          <w:divBdr>
            <w:top w:val="none" w:sz="0" w:space="0" w:color="auto"/>
            <w:left w:val="none" w:sz="0" w:space="0" w:color="auto"/>
            <w:bottom w:val="none" w:sz="0" w:space="0" w:color="auto"/>
            <w:right w:val="none" w:sz="0" w:space="0" w:color="auto"/>
          </w:divBdr>
        </w:div>
        <w:div w:id="471673601">
          <w:marLeft w:val="0"/>
          <w:marRight w:val="0"/>
          <w:marTop w:val="0"/>
          <w:marBottom w:val="101"/>
          <w:divBdr>
            <w:top w:val="none" w:sz="0" w:space="0" w:color="auto"/>
            <w:left w:val="none" w:sz="0" w:space="0" w:color="auto"/>
            <w:bottom w:val="none" w:sz="0" w:space="0" w:color="auto"/>
            <w:right w:val="none" w:sz="0" w:space="0" w:color="auto"/>
          </w:divBdr>
        </w:div>
        <w:div w:id="1435320192">
          <w:marLeft w:val="0"/>
          <w:marRight w:val="0"/>
          <w:marTop w:val="0"/>
          <w:marBottom w:val="101"/>
          <w:divBdr>
            <w:top w:val="none" w:sz="0" w:space="0" w:color="auto"/>
            <w:left w:val="none" w:sz="0" w:space="0" w:color="auto"/>
            <w:bottom w:val="none" w:sz="0" w:space="0" w:color="auto"/>
            <w:right w:val="none" w:sz="0" w:space="0" w:color="auto"/>
          </w:divBdr>
        </w:div>
        <w:div w:id="789860833">
          <w:marLeft w:val="0"/>
          <w:marRight w:val="0"/>
          <w:marTop w:val="101"/>
          <w:marBottom w:val="101"/>
          <w:divBdr>
            <w:top w:val="none" w:sz="0" w:space="0" w:color="auto"/>
            <w:left w:val="none" w:sz="0" w:space="0" w:color="auto"/>
            <w:bottom w:val="none" w:sz="0" w:space="0" w:color="auto"/>
            <w:right w:val="none" w:sz="0" w:space="0" w:color="auto"/>
          </w:divBdr>
        </w:div>
        <w:div w:id="1069496135">
          <w:marLeft w:val="0"/>
          <w:marRight w:val="0"/>
          <w:marTop w:val="0"/>
          <w:marBottom w:val="101"/>
          <w:divBdr>
            <w:top w:val="none" w:sz="0" w:space="0" w:color="auto"/>
            <w:left w:val="none" w:sz="0" w:space="0" w:color="auto"/>
            <w:bottom w:val="none" w:sz="0" w:space="0" w:color="auto"/>
            <w:right w:val="none" w:sz="0" w:space="0" w:color="auto"/>
          </w:divBdr>
        </w:div>
        <w:div w:id="929394181">
          <w:marLeft w:val="0"/>
          <w:marRight w:val="0"/>
          <w:marTop w:val="0"/>
          <w:marBottom w:val="101"/>
          <w:divBdr>
            <w:top w:val="none" w:sz="0" w:space="0" w:color="auto"/>
            <w:left w:val="none" w:sz="0" w:space="0" w:color="auto"/>
            <w:bottom w:val="none" w:sz="0" w:space="0" w:color="auto"/>
            <w:right w:val="none" w:sz="0" w:space="0" w:color="auto"/>
          </w:divBdr>
        </w:div>
        <w:div w:id="1784573022">
          <w:marLeft w:val="0"/>
          <w:marRight w:val="0"/>
          <w:marTop w:val="0"/>
          <w:marBottom w:val="101"/>
          <w:divBdr>
            <w:top w:val="none" w:sz="0" w:space="0" w:color="auto"/>
            <w:left w:val="none" w:sz="0" w:space="0" w:color="auto"/>
            <w:bottom w:val="none" w:sz="0" w:space="0" w:color="auto"/>
            <w:right w:val="none" w:sz="0" w:space="0" w:color="auto"/>
          </w:divBdr>
        </w:div>
        <w:div w:id="163134291">
          <w:marLeft w:val="0"/>
          <w:marRight w:val="0"/>
          <w:marTop w:val="0"/>
          <w:marBottom w:val="101"/>
          <w:divBdr>
            <w:top w:val="none" w:sz="0" w:space="0" w:color="auto"/>
            <w:left w:val="none" w:sz="0" w:space="0" w:color="auto"/>
            <w:bottom w:val="none" w:sz="0" w:space="0" w:color="auto"/>
            <w:right w:val="none" w:sz="0" w:space="0" w:color="auto"/>
          </w:divBdr>
        </w:div>
        <w:div w:id="2042434007">
          <w:marLeft w:val="0"/>
          <w:marRight w:val="0"/>
          <w:marTop w:val="0"/>
          <w:marBottom w:val="101"/>
          <w:divBdr>
            <w:top w:val="none" w:sz="0" w:space="0" w:color="auto"/>
            <w:left w:val="none" w:sz="0" w:space="0" w:color="auto"/>
            <w:bottom w:val="none" w:sz="0" w:space="0" w:color="auto"/>
            <w:right w:val="none" w:sz="0" w:space="0" w:color="auto"/>
          </w:divBdr>
        </w:div>
        <w:div w:id="1835368429">
          <w:marLeft w:val="0"/>
          <w:marRight w:val="0"/>
          <w:marTop w:val="0"/>
          <w:marBottom w:val="101"/>
          <w:divBdr>
            <w:top w:val="none" w:sz="0" w:space="0" w:color="auto"/>
            <w:left w:val="none" w:sz="0" w:space="0" w:color="auto"/>
            <w:bottom w:val="none" w:sz="0" w:space="0" w:color="auto"/>
            <w:right w:val="none" w:sz="0" w:space="0" w:color="auto"/>
          </w:divBdr>
        </w:div>
        <w:div w:id="1731003346">
          <w:marLeft w:val="0"/>
          <w:marRight w:val="0"/>
          <w:marTop w:val="0"/>
          <w:marBottom w:val="101"/>
          <w:divBdr>
            <w:top w:val="none" w:sz="0" w:space="0" w:color="auto"/>
            <w:left w:val="none" w:sz="0" w:space="0" w:color="auto"/>
            <w:bottom w:val="none" w:sz="0" w:space="0" w:color="auto"/>
            <w:right w:val="none" w:sz="0" w:space="0" w:color="auto"/>
          </w:divBdr>
        </w:div>
        <w:div w:id="99107637">
          <w:marLeft w:val="0"/>
          <w:marRight w:val="0"/>
          <w:marTop w:val="0"/>
          <w:marBottom w:val="101"/>
          <w:divBdr>
            <w:top w:val="none" w:sz="0" w:space="0" w:color="auto"/>
            <w:left w:val="none" w:sz="0" w:space="0" w:color="auto"/>
            <w:bottom w:val="none" w:sz="0" w:space="0" w:color="auto"/>
            <w:right w:val="none" w:sz="0" w:space="0" w:color="auto"/>
          </w:divBdr>
        </w:div>
        <w:div w:id="1824930236">
          <w:marLeft w:val="0"/>
          <w:marRight w:val="0"/>
          <w:marTop w:val="0"/>
          <w:marBottom w:val="101"/>
          <w:divBdr>
            <w:top w:val="none" w:sz="0" w:space="0" w:color="auto"/>
            <w:left w:val="none" w:sz="0" w:space="0" w:color="auto"/>
            <w:bottom w:val="none" w:sz="0" w:space="0" w:color="auto"/>
            <w:right w:val="none" w:sz="0" w:space="0" w:color="auto"/>
          </w:divBdr>
        </w:div>
        <w:div w:id="74985448">
          <w:marLeft w:val="0"/>
          <w:marRight w:val="0"/>
          <w:marTop w:val="0"/>
          <w:marBottom w:val="101"/>
          <w:divBdr>
            <w:top w:val="none" w:sz="0" w:space="0" w:color="auto"/>
            <w:left w:val="none" w:sz="0" w:space="0" w:color="auto"/>
            <w:bottom w:val="none" w:sz="0" w:space="0" w:color="auto"/>
            <w:right w:val="none" w:sz="0" w:space="0" w:color="auto"/>
          </w:divBdr>
        </w:div>
        <w:div w:id="1977445522">
          <w:marLeft w:val="0"/>
          <w:marRight w:val="0"/>
          <w:marTop w:val="0"/>
          <w:marBottom w:val="101"/>
          <w:divBdr>
            <w:top w:val="none" w:sz="0" w:space="0" w:color="auto"/>
            <w:left w:val="none" w:sz="0" w:space="0" w:color="auto"/>
            <w:bottom w:val="none" w:sz="0" w:space="0" w:color="auto"/>
            <w:right w:val="none" w:sz="0" w:space="0" w:color="auto"/>
          </w:divBdr>
        </w:div>
        <w:div w:id="1136021935">
          <w:marLeft w:val="0"/>
          <w:marRight w:val="0"/>
          <w:marTop w:val="0"/>
          <w:marBottom w:val="101"/>
          <w:divBdr>
            <w:top w:val="none" w:sz="0" w:space="0" w:color="auto"/>
            <w:left w:val="none" w:sz="0" w:space="0" w:color="auto"/>
            <w:bottom w:val="none" w:sz="0" w:space="0" w:color="auto"/>
            <w:right w:val="none" w:sz="0" w:space="0" w:color="auto"/>
          </w:divBdr>
        </w:div>
        <w:div w:id="1505852375">
          <w:marLeft w:val="0"/>
          <w:marRight w:val="0"/>
          <w:marTop w:val="0"/>
          <w:marBottom w:val="101"/>
          <w:divBdr>
            <w:top w:val="none" w:sz="0" w:space="0" w:color="auto"/>
            <w:left w:val="none" w:sz="0" w:space="0" w:color="auto"/>
            <w:bottom w:val="none" w:sz="0" w:space="0" w:color="auto"/>
            <w:right w:val="none" w:sz="0" w:space="0" w:color="auto"/>
          </w:divBdr>
        </w:div>
        <w:div w:id="576549127">
          <w:marLeft w:val="0"/>
          <w:marRight w:val="0"/>
          <w:marTop w:val="0"/>
          <w:marBottom w:val="101"/>
          <w:divBdr>
            <w:top w:val="none" w:sz="0" w:space="0" w:color="auto"/>
            <w:left w:val="none" w:sz="0" w:space="0" w:color="auto"/>
            <w:bottom w:val="none" w:sz="0" w:space="0" w:color="auto"/>
            <w:right w:val="none" w:sz="0" w:space="0" w:color="auto"/>
          </w:divBdr>
        </w:div>
        <w:div w:id="951858734">
          <w:marLeft w:val="0"/>
          <w:marRight w:val="0"/>
          <w:marTop w:val="0"/>
          <w:marBottom w:val="101"/>
          <w:divBdr>
            <w:top w:val="none" w:sz="0" w:space="0" w:color="auto"/>
            <w:left w:val="none" w:sz="0" w:space="0" w:color="auto"/>
            <w:bottom w:val="none" w:sz="0" w:space="0" w:color="auto"/>
            <w:right w:val="none" w:sz="0" w:space="0" w:color="auto"/>
          </w:divBdr>
        </w:div>
        <w:div w:id="278101136">
          <w:marLeft w:val="0"/>
          <w:marRight w:val="0"/>
          <w:marTop w:val="0"/>
          <w:marBottom w:val="101"/>
          <w:divBdr>
            <w:top w:val="none" w:sz="0" w:space="0" w:color="auto"/>
            <w:left w:val="none" w:sz="0" w:space="0" w:color="auto"/>
            <w:bottom w:val="none" w:sz="0" w:space="0" w:color="auto"/>
            <w:right w:val="none" w:sz="0" w:space="0" w:color="auto"/>
          </w:divBdr>
        </w:div>
        <w:div w:id="1152477980">
          <w:marLeft w:val="0"/>
          <w:marRight w:val="0"/>
          <w:marTop w:val="0"/>
          <w:marBottom w:val="101"/>
          <w:divBdr>
            <w:top w:val="none" w:sz="0" w:space="0" w:color="auto"/>
            <w:left w:val="none" w:sz="0" w:space="0" w:color="auto"/>
            <w:bottom w:val="none" w:sz="0" w:space="0" w:color="auto"/>
            <w:right w:val="none" w:sz="0" w:space="0" w:color="auto"/>
          </w:divBdr>
        </w:div>
        <w:div w:id="1277373138">
          <w:marLeft w:val="0"/>
          <w:marRight w:val="0"/>
          <w:marTop w:val="0"/>
          <w:marBottom w:val="101"/>
          <w:divBdr>
            <w:top w:val="none" w:sz="0" w:space="0" w:color="auto"/>
            <w:left w:val="none" w:sz="0" w:space="0" w:color="auto"/>
            <w:bottom w:val="none" w:sz="0" w:space="0" w:color="auto"/>
            <w:right w:val="none" w:sz="0" w:space="0" w:color="auto"/>
          </w:divBdr>
        </w:div>
        <w:div w:id="1522351685">
          <w:marLeft w:val="0"/>
          <w:marRight w:val="0"/>
          <w:marTop w:val="0"/>
          <w:marBottom w:val="101"/>
          <w:divBdr>
            <w:top w:val="none" w:sz="0" w:space="0" w:color="auto"/>
            <w:left w:val="none" w:sz="0" w:space="0" w:color="auto"/>
            <w:bottom w:val="none" w:sz="0" w:space="0" w:color="auto"/>
            <w:right w:val="none" w:sz="0" w:space="0" w:color="auto"/>
          </w:divBdr>
        </w:div>
        <w:div w:id="1970163101">
          <w:marLeft w:val="0"/>
          <w:marRight w:val="0"/>
          <w:marTop w:val="0"/>
          <w:marBottom w:val="101"/>
          <w:divBdr>
            <w:top w:val="none" w:sz="0" w:space="0" w:color="auto"/>
            <w:left w:val="none" w:sz="0" w:space="0" w:color="auto"/>
            <w:bottom w:val="none" w:sz="0" w:space="0" w:color="auto"/>
            <w:right w:val="none" w:sz="0" w:space="0" w:color="auto"/>
          </w:divBdr>
        </w:div>
        <w:div w:id="413281464">
          <w:marLeft w:val="0"/>
          <w:marRight w:val="0"/>
          <w:marTop w:val="0"/>
          <w:marBottom w:val="101"/>
          <w:divBdr>
            <w:top w:val="none" w:sz="0" w:space="0" w:color="auto"/>
            <w:left w:val="none" w:sz="0" w:space="0" w:color="auto"/>
            <w:bottom w:val="none" w:sz="0" w:space="0" w:color="auto"/>
            <w:right w:val="none" w:sz="0" w:space="0" w:color="auto"/>
          </w:divBdr>
        </w:div>
        <w:div w:id="504247069">
          <w:marLeft w:val="0"/>
          <w:marRight w:val="0"/>
          <w:marTop w:val="0"/>
          <w:marBottom w:val="101"/>
          <w:divBdr>
            <w:top w:val="none" w:sz="0" w:space="0" w:color="auto"/>
            <w:left w:val="none" w:sz="0" w:space="0" w:color="auto"/>
            <w:bottom w:val="none" w:sz="0" w:space="0" w:color="auto"/>
            <w:right w:val="none" w:sz="0" w:space="0" w:color="auto"/>
          </w:divBdr>
        </w:div>
        <w:div w:id="1883442320">
          <w:marLeft w:val="0"/>
          <w:marRight w:val="0"/>
          <w:marTop w:val="0"/>
          <w:marBottom w:val="101"/>
          <w:divBdr>
            <w:top w:val="none" w:sz="0" w:space="0" w:color="auto"/>
            <w:left w:val="none" w:sz="0" w:space="0" w:color="auto"/>
            <w:bottom w:val="none" w:sz="0" w:space="0" w:color="auto"/>
            <w:right w:val="none" w:sz="0" w:space="0" w:color="auto"/>
          </w:divBdr>
        </w:div>
        <w:div w:id="1975258014">
          <w:marLeft w:val="0"/>
          <w:marRight w:val="0"/>
          <w:marTop w:val="0"/>
          <w:marBottom w:val="101"/>
          <w:divBdr>
            <w:top w:val="none" w:sz="0" w:space="0" w:color="auto"/>
            <w:left w:val="none" w:sz="0" w:space="0" w:color="auto"/>
            <w:bottom w:val="none" w:sz="0" w:space="0" w:color="auto"/>
            <w:right w:val="none" w:sz="0" w:space="0" w:color="auto"/>
          </w:divBdr>
        </w:div>
        <w:div w:id="827016874">
          <w:marLeft w:val="0"/>
          <w:marRight w:val="0"/>
          <w:marTop w:val="0"/>
          <w:marBottom w:val="101"/>
          <w:divBdr>
            <w:top w:val="none" w:sz="0" w:space="0" w:color="auto"/>
            <w:left w:val="none" w:sz="0" w:space="0" w:color="auto"/>
            <w:bottom w:val="none" w:sz="0" w:space="0" w:color="auto"/>
            <w:right w:val="none" w:sz="0" w:space="0" w:color="auto"/>
          </w:divBdr>
        </w:div>
        <w:div w:id="341277625">
          <w:marLeft w:val="0"/>
          <w:marRight w:val="0"/>
          <w:marTop w:val="0"/>
          <w:marBottom w:val="101"/>
          <w:divBdr>
            <w:top w:val="none" w:sz="0" w:space="0" w:color="auto"/>
            <w:left w:val="none" w:sz="0" w:space="0" w:color="auto"/>
            <w:bottom w:val="none" w:sz="0" w:space="0" w:color="auto"/>
            <w:right w:val="none" w:sz="0" w:space="0" w:color="auto"/>
          </w:divBdr>
        </w:div>
        <w:div w:id="529608943">
          <w:marLeft w:val="0"/>
          <w:marRight w:val="0"/>
          <w:marTop w:val="0"/>
          <w:marBottom w:val="101"/>
          <w:divBdr>
            <w:top w:val="none" w:sz="0" w:space="0" w:color="auto"/>
            <w:left w:val="none" w:sz="0" w:space="0" w:color="auto"/>
            <w:bottom w:val="none" w:sz="0" w:space="0" w:color="auto"/>
            <w:right w:val="none" w:sz="0" w:space="0" w:color="auto"/>
          </w:divBdr>
        </w:div>
        <w:div w:id="1693191805">
          <w:marLeft w:val="0"/>
          <w:marRight w:val="0"/>
          <w:marTop w:val="0"/>
          <w:marBottom w:val="101"/>
          <w:divBdr>
            <w:top w:val="none" w:sz="0" w:space="0" w:color="auto"/>
            <w:left w:val="none" w:sz="0" w:space="0" w:color="auto"/>
            <w:bottom w:val="none" w:sz="0" w:space="0" w:color="auto"/>
            <w:right w:val="none" w:sz="0" w:space="0" w:color="auto"/>
          </w:divBdr>
        </w:div>
        <w:div w:id="1418550022">
          <w:marLeft w:val="0"/>
          <w:marRight w:val="0"/>
          <w:marTop w:val="0"/>
          <w:marBottom w:val="101"/>
          <w:divBdr>
            <w:top w:val="none" w:sz="0" w:space="0" w:color="auto"/>
            <w:left w:val="none" w:sz="0" w:space="0" w:color="auto"/>
            <w:bottom w:val="none" w:sz="0" w:space="0" w:color="auto"/>
            <w:right w:val="none" w:sz="0" w:space="0" w:color="auto"/>
          </w:divBdr>
        </w:div>
        <w:div w:id="337735821">
          <w:marLeft w:val="0"/>
          <w:marRight w:val="0"/>
          <w:marTop w:val="0"/>
          <w:marBottom w:val="101"/>
          <w:divBdr>
            <w:top w:val="none" w:sz="0" w:space="0" w:color="auto"/>
            <w:left w:val="none" w:sz="0" w:space="0" w:color="auto"/>
            <w:bottom w:val="none" w:sz="0" w:space="0" w:color="auto"/>
            <w:right w:val="none" w:sz="0" w:space="0" w:color="auto"/>
          </w:divBdr>
        </w:div>
        <w:div w:id="1994600104">
          <w:marLeft w:val="0"/>
          <w:marRight w:val="0"/>
          <w:marTop w:val="0"/>
          <w:marBottom w:val="101"/>
          <w:divBdr>
            <w:top w:val="none" w:sz="0" w:space="0" w:color="auto"/>
            <w:left w:val="none" w:sz="0" w:space="0" w:color="auto"/>
            <w:bottom w:val="none" w:sz="0" w:space="0" w:color="auto"/>
            <w:right w:val="none" w:sz="0" w:space="0" w:color="auto"/>
          </w:divBdr>
        </w:div>
        <w:div w:id="127210413">
          <w:marLeft w:val="0"/>
          <w:marRight w:val="0"/>
          <w:marTop w:val="0"/>
          <w:marBottom w:val="101"/>
          <w:divBdr>
            <w:top w:val="none" w:sz="0" w:space="0" w:color="auto"/>
            <w:left w:val="none" w:sz="0" w:space="0" w:color="auto"/>
            <w:bottom w:val="none" w:sz="0" w:space="0" w:color="auto"/>
            <w:right w:val="none" w:sz="0" w:space="0" w:color="auto"/>
          </w:divBdr>
        </w:div>
        <w:div w:id="1760902623">
          <w:marLeft w:val="0"/>
          <w:marRight w:val="0"/>
          <w:marTop w:val="0"/>
          <w:marBottom w:val="101"/>
          <w:divBdr>
            <w:top w:val="none" w:sz="0" w:space="0" w:color="auto"/>
            <w:left w:val="none" w:sz="0" w:space="0" w:color="auto"/>
            <w:bottom w:val="none" w:sz="0" w:space="0" w:color="auto"/>
            <w:right w:val="none" w:sz="0" w:space="0" w:color="auto"/>
          </w:divBdr>
        </w:div>
        <w:div w:id="783312105">
          <w:marLeft w:val="0"/>
          <w:marRight w:val="0"/>
          <w:marTop w:val="0"/>
          <w:marBottom w:val="101"/>
          <w:divBdr>
            <w:top w:val="none" w:sz="0" w:space="0" w:color="auto"/>
            <w:left w:val="none" w:sz="0" w:space="0" w:color="auto"/>
            <w:bottom w:val="none" w:sz="0" w:space="0" w:color="auto"/>
            <w:right w:val="none" w:sz="0" w:space="0" w:color="auto"/>
          </w:divBdr>
        </w:div>
        <w:div w:id="1808812980">
          <w:marLeft w:val="0"/>
          <w:marRight w:val="0"/>
          <w:marTop w:val="0"/>
          <w:marBottom w:val="101"/>
          <w:divBdr>
            <w:top w:val="none" w:sz="0" w:space="0" w:color="auto"/>
            <w:left w:val="none" w:sz="0" w:space="0" w:color="auto"/>
            <w:bottom w:val="none" w:sz="0" w:space="0" w:color="auto"/>
            <w:right w:val="none" w:sz="0" w:space="0" w:color="auto"/>
          </w:divBdr>
        </w:div>
        <w:div w:id="1122917723">
          <w:marLeft w:val="0"/>
          <w:marRight w:val="0"/>
          <w:marTop w:val="0"/>
          <w:marBottom w:val="101"/>
          <w:divBdr>
            <w:top w:val="none" w:sz="0" w:space="0" w:color="auto"/>
            <w:left w:val="none" w:sz="0" w:space="0" w:color="auto"/>
            <w:bottom w:val="none" w:sz="0" w:space="0" w:color="auto"/>
            <w:right w:val="none" w:sz="0" w:space="0" w:color="auto"/>
          </w:divBdr>
        </w:div>
        <w:div w:id="262420889">
          <w:marLeft w:val="0"/>
          <w:marRight w:val="0"/>
          <w:marTop w:val="0"/>
          <w:marBottom w:val="101"/>
          <w:divBdr>
            <w:top w:val="none" w:sz="0" w:space="0" w:color="auto"/>
            <w:left w:val="none" w:sz="0" w:space="0" w:color="auto"/>
            <w:bottom w:val="none" w:sz="0" w:space="0" w:color="auto"/>
            <w:right w:val="none" w:sz="0" w:space="0" w:color="auto"/>
          </w:divBdr>
        </w:div>
        <w:div w:id="767458121">
          <w:marLeft w:val="0"/>
          <w:marRight w:val="0"/>
          <w:marTop w:val="0"/>
          <w:marBottom w:val="101"/>
          <w:divBdr>
            <w:top w:val="none" w:sz="0" w:space="0" w:color="auto"/>
            <w:left w:val="none" w:sz="0" w:space="0" w:color="auto"/>
            <w:bottom w:val="none" w:sz="0" w:space="0" w:color="auto"/>
            <w:right w:val="none" w:sz="0" w:space="0" w:color="auto"/>
          </w:divBdr>
        </w:div>
        <w:div w:id="1431462442">
          <w:marLeft w:val="0"/>
          <w:marRight w:val="0"/>
          <w:marTop w:val="0"/>
          <w:marBottom w:val="101"/>
          <w:divBdr>
            <w:top w:val="none" w:sz="0" w:space="0" w:color="auto"/>
            <w:left w:val="none" w:sz="0" w:space="0" w:color="auto"/>
            <w:bottom w:val="none" w:sz="0" w:space="0" w:color="auto"/>
            <w:right w:val="none" w:sz="0" w:space="0" w:color="auto"/>
          </w:divBdr>
        </w:div>
        <w:div w:id="2054888523">
          <w:marLeft w:val="0"/>
          <w:marRight w:val="0"/>
          <w:marTop w:val="0"/>
          <w:marBottom w:val="101"/>
          <w:divBdr>
            <w:top w:val="none" w:sz="0" w:space="0" w:color="auto"/>
            <w:left w:val="none" w:sz="0" w:space="0" w:color="auto"/>
            <w:bottom w:val="none" w:sz="0" w:space="0" w:color="auto"/>
            <w:right w:val="none" w:sz="0" w:space="0" w:color="auto"/>
          </w:divBdr>
        </w:div>
        <w:div w:id="1909537289">
          <w:marLeft w:val="0"/>
          <w:marRight w:val="0"/>
          <w:marTop w:val="0"/>
          <w:marBottom w:val="101"/>
          <w:divBdr>
            <w:top w:val="none" w:sz="0" w:space="0" w:color="auto"/>
            <w:left w:val="none" w:sz="0" w:space="0" w:color="auto"/>
            <w:bottom w:val="none" w:sz="0" w:space="0" w:color="auto"/>
            <w:right w:val="none" w:sz="0" w:space="0" w:color="auto"/>
          </w:divBdr>
        </w:div>
        <w:div w:id="2037656208">
          <w:marLeft w:val="0"/>
          <w:marRight w:val="0"/>
          <w:marTop w:val="0"/>
          <w:marBottom w:val="101"/>
          <w:divBdr>
            <w:top w:val="none" w:sz="0" w:space="0" w:color="auto"/>
            <w:left w:val="none" w:sz="0" w:space="0" w:color="auto"/>
            <w:bottom w:val="none" w:sz="0" w:space="0" w:color="auto"/>
            <w:right w:val="none" w:sz="0" w:space="0" w:color="auto"/>
          </w:divBdr>
        </w:div>
        <w:div w:id="1583489217">
          <w:marLeft w:val="0"/>
          <w:marRight w:val="0"/>
          <w:marTop w:val="0"/>
          <w:marBottom w:val="101"/>
          <w:divBdr>
            <w:top w:val="none" w:sz="0" w:space="0" w:color="auto"/>
            <w:left w:val="none" w:sz="0" w:space="0" w:color="auto"/>
            <w:bottom w:val="none" w:sz="0" w:space="0" w:color="auto"/>
            <w:right w:val="none" w:sz="0" w:space="0" w:color="auto"/>
          </w:divBdr>
        </w:div>
        <w:div w:id="373891133">
          <w:marLeft w:val="0"/>
          <w:marRight w:val="0"/>
          <w:marTop w:val="0"/>
          <w:marBottom w:val="101"/>
          <w:divBdr>
            <w:top w:val="none" w:sz="0" w:space="0" w:color="auto"/>
            <w:left w:val="none" w:sz="0" w:space="0" w:color="auto"/>
            <w:bottom w:val="none" w:sz="0" w:space="0" w:color="auto"/>
            <w:right w:val="none" w:sz="0" w:space="0" w:color="auto"/>
          </w:divBdr>
        </w:div>
        <w:div w:id="1512908976">
          <w:marLeft w:val="720"/>
          <w:marRight w:val="0"/>
          <w:marTop w:val="0"/>
          <w:marBottom w:val="101"/>
          <w:divBdr>
            <w:top w:val="none" w:sz="0" w:space="0" w:color="auto"/>
            <w:left w:val="none" w:sz="0" w:space="0" w:color="auto"/>
            <w:bottom w:val="none" w:sz="0" w:space="0" w:color="auto"/>
            <w:right w:val="none" w:sz="0" w:space="0" w:color="auto"/>
          </w:divBdr>
        </w:div>
        <w:div w:id="116489110">
          <w:marLeft w:val="720"/>
          <w:marRight w:val="0"/>
          <w:marTop w:val="0"/>
          <w:marBottom w:val="101"/>
          <w:divBdr>
            <w:top w:val="none" w:sz="0" w:space="0" w:color="auto"/>
            <w:left w:val="none" w:sz="0" w:space="0" w:color="auto"/>
            <w:bottom w:val="none" w:sz="0" w:space="0" w:color="auto"/>
            <w:right w:val="none" w:sz="0" w:space="0" w:color="auto"/>
          </w:divBdr>
        </w:div>
        <w:div w:id="1607738570">
          <w:marLeft w:val="720"/>
          <w:marRight w:val="0"/>
          <w:marTop w:val="0"/>
          <w:marBottom w:val="101"/>
          <w:divBdr>
            <w:top w:val="none" w:sz="0" w:space="0" w:color="auto"/>
            <w:left w:val="none" w:sz="0" w:space="0" w:color="auto"/>
            <w:bottom w:val="none" w:sz="0" w:space="0" w:color="auto"/>
            <w:right w:val="none" w:sz="0" w:space="0" w:color="auto"/>
          </w:divBdr>
        </w:div>
        <w:div w:id="2004163621">
          <w:marLeft w:val="0"/>
          <w:marRight w:val="0"/>
          <w:marTop w:val="0"/>
          <w:marBottom w:val="101"/>
          <w:divBdr>
            <w:top w:val="none" w:sz="0" w:space="0" w:color="auto"/>
            <w:left w:val="none" w:sz="0" w:space="0" w:color="auto"/>
            <w:bottom w:val="none" w:sz="0" w:space="0" w:color="auto"/>
            <w:right w:val="none" w:sz="0" w:space="0" w:color="auto"/>
          </w:divBdr>
        </w:div>
        <w:div w:id="1092093343">
          <w:marLeft w:val="720"/>
          <w:marRight w:val="0"/>
          <w:marTop w:val="0"/>
          <w:marBottom w:val="101"/>
          <w:divBdr>
            <w:top w:val="none" w:sz="0" w:space="0" w:color="auto"/>
            <w:left w:val="none" w:sz="0" w:space="0" w:color="auto"/>
            <w:bottom w:val="none" w:sz="0" w:space="0" w:color="auto"/>
            <w:right w:val="none" w:sz="0" w:space="0" w:color="auto"/>
          </w:divBdr>
        </w:div>
        <w:div w:id="470943780">
          <w:marLeft w:val="720"/>
          <w:marRight w:val="0"/>
          <w:marTop w:val="0"/>
          <w:marBottom w:val="101"/>
          <w:divBdr>
            <w:top w:val="none" w:sz="0" w:space="0" w:color="auto"/>
            <w:left w:val="none" w:sz="0" w:space="0" w:color="auto"/>
            <w:bottom w:val="none" w:sz="0" w:space="0" w:color="auto"/>
            <w:right w:val="none" w:sz="0" w:space="0" w:color="auto"/>
          </w:divBdr>
        </w:div>
        <w:div w:id="1628122368">
          <w:marLeft w:val="720"/>
          <w:marRight w:val="0"/>
          <w:marTop w:val="0"/>
          <w:marBottom w:val="101"/>
          <w:divBdr>
            <w:top w:val="none" w:sz="0" w:space="0" w:color="auto"/>
            <w:left w:val="none" w:sz="0" w:space="0" w:color="auto"/>
            <w:bottom w:val="none" w:sz="0" w:space="0" w:color="auto"/>
            <w:right w:val="none" w:sz="0" w:space="0" w:color="auto"/>
          </w:divBdr>
        </w:div>
        <w:div w:id="2079472334">
          <w:marLeft w:val="720"/>
          <w:marRight w:val="0"/>
          <w:marTop w:val="0"/>
          <w:marBottom w:val="101"/>
          <w:divBdr>
            <w:top w:val="none" w:sz="0" w:space="0" w:color="auto"/>
            <w:left w:val="none" w:sz="0" w:space="0" w:color="auto"/>
            <w:bottom w:val="none" w:sz="0" w:space="0" w:color="auto"/>
            <w:right w:val="none" w:sz="0" w:space="0" w:color="auto"/>
          </w:divBdr>
        </w:div>
        <w:div w:id="108665901">
          <w:marLeft w:val="0"/>
          <w:marRight w:val="0"/>
          <w:marTop w:val="0"/>
          <w:marBottom w:val="101"/>
          <w:divBdr>
            <w:top w:val="none" w:sz="0" w:space="0" w:color="auto"/>
            <w:left w:val="none" w:sz="0" w:space="0" w:color="auto"/>
            <w:bottom w:val="none" w:sz="0" w:space="0" w:color="auto"/>
            <w:right w:val="none" w:sz="0" w:space="0" w:color="auto"/>
          </w:divBdr>
        </w:div>
        <w:div w:id="2000040366">
          <w:marLeft w:val="720"/>
          <w:marRight w:val="0"/>
          <w:marTop w:val="0"/>
          <w:marBottom w:val="101"/>
          <w:divBdr>
            <w:top w:val="none" w:sz="0" w:space="0" w:color="auto"/>
            <w:left w:val="none" w:sz="0" w:space="0" w:color="auto"/>
            <w:bottom w:val="none" w:sz="0" w:space="0" w:color="auto"/>
            <w:right w:val="none" w:sz="0" w:space="0" w:color="auto"/>
          </w:divBdr>
        </w:div>
        <w:div w:id="2143842170">
          <w:marLeft w:val="720"/>
          <w:marRight w:val="0"/>
          <w:marTop w:val="0"/>
          <w:marBottom w:val="101"/>
          <w:divBdr>
            <w:top w:val="none" w:sz="0" w:space="0" w:color="auto"/>
            <w:left w:val="none" w:sz="0" w:space="0" w:color="auto"/>
            <w:bottom w:val="none" w:sz="0" w:space="0" w:color="auto"/>
            <w:right w:val="none" w:sz="0" w:space="0" w:color="auto"/>
          </w:divBdr>
        </w:div>
        <w:div w:id="1286810228">
          <w:marLeft w:val="720"/>
          <w:marRight w:val="0"/>
          <w:marTop w:val="0"/>
          <w:marBottom w:val="101"/>
          <w:divBdr>
            <w:top w:val="none" w:sz="0" w:space="0" w:color="auto"/>
            <w:left w:val="none" w:sz="0" w:space="0" w:color="auto"/>
            <w:bottom w:val="none" w:sz="0" w:space="0" w:color="auto"/>
            <w:right w:val="none" w:sz="0" w:space="0" w:color="auto"/>
          </w:divBdr>
        </w:div>
        <w:div w:id="653030172">
          <w:marLeft w:val="720"/>
          <w:marRight w:val="0"/>
          <w:marTop w:val="0"/>
          <w:marBottom w:val="101"/>
          <w:divBdr>
            <w:top w:val="none" w:sz="0" w:space="0" w:color="auto"/>
            <w:left w:val="none" w:sz="0" w:space="0" w:color="auto"/>
            <w:bottom w:val="none" w:sz="0" w:space="0" w:color="auto"/>
            <w:right w:val="none" w:sz="0" w:space="0" w:color="auto"/>
          </w:divBdr>
        </w:div>
        <w:div w:id="566183482">
          <w:marLeft w:val="720"/>
          <w:marRight w:val="0"/>
          <w:marTop w:val="0"/>
          <w:marBottom w:val="101"/>
          <w:divBdr>
            <w:top w:val="none" w:sz="0" w:space="0" w:color="auto"/>
            <w:left w:val="none" w:sz="0" w:space="0" w:color="auto"/>
            <w:bottom w:val="none" w:sz="0" w:space="0" w:color="auto"/>
            <w:right w:val="none" w:sz="0" w:space="0" w:color="auto"/>
          </w:divBdr>
        </w:div>
        <w:div w:id="1249657438">
          <w:marLeft w:val="720"/>
          <w:marRight w:val="0"/>
          <w:marTop w:val="0"/>
          <w:marBottom w:val="101"/>
          <w:divBdr>
            <w:top w:val="none" w:sz="0" w:space="0" w:color="auto"/>
            <w:left w:val="none" w:sz="0" w:space="0" w:color="auto"/>
            <w:bottom w:val="none" w:sz="0" w:space="0" w:color="auto"/>
            <w:right w:val="none" w:sz="0" w:space="0" w:color="auto"/>
          </w:divBdr>
        </w:div>
        <w:div w:id="642270426">
          <w:marLeft w:val="720"/>
          <w:marRight w:val="0"/>
          <w:marTop w:val="0"/>
          <w:marBottom w:val="101"/>
          <w:divBdr>
            <w:top w:val="none" w:sz="0" w:space="0" w:color="auto"/>
            <w:left w:val="none" w:sz="0" w:space="0" w:color="auto"/>
            <w:bottom w:val="none" w:sz="0" w:space="0" w:color="auto"/>
            <w:right w:val="none" w:sz="0" w:space="0" w:color="auto"/>
          </w:divBdr>
        </w:div>
        <w:div w:id="46416879">
          <w:marLeft w:val="720"/>
          <w:marRight w:val="0"/>
          <w:marTop w:val="0"/>
          <w:marBottom w:val="101"/>
          <w:divBdr>
            <w:top w:val="none" w:sz="0" w:space="0" w:color="auto"/>
            <w:left w:val="none" w:sz="0" w:space="0" w:color="auto"/>
            <w:bottom w:val="none" w:sz="0" w:space="0" w:color="auto"/>
            <w:right w:val="none" w:sz="0" w:space="0" w:color="auto"/>
          </w:divBdr>
        </w:div>
        <w:div w:id="888079223">
          <w:marLeft w:val="720"/>
          <w:marRight w:val="0"/>
          <w:marTop w:val="0"/>
          <w:marBottom w:val="101"/>
          <w:divBdr>
            <w:top w:val="none" w:sz="0" w:space="0" w:color="auto"/>
            <w:left w:val="none" w:sz="0" w:space="0" w:color="auto"/>
            <w:bottom w:val="none" w:sz="0" w:space="0" w:color="auto"/>
            <w:right w:val="none" w:sz="0" w:space="0" w:color="auto"/>
          </w:divBdr>
        </w:div>
        <w:div w:id="1840998082">
          <w:marLeft w:val="720"/>
          <w:marRight w:val="0"/>
          <w:marTop w:val="0"/>
          <w:marBottom w:val="101"/>
          <w:divBdr>
            <w:top w:val="none" w:sz="0" w:space="0" w:color="auto"/>
            <w:left w:val="none" w:sz="0" w:space="0" w:color="auto"/>
            <w:bottom w:val="none" w:sz="0" w:space="0" w:color="auto"/>
            <w:right w:val="none" w:sz="0" w:space="0" w:color="auto"/>
          </w:divBdr>
        </w:div>
        <w:div w:id="1052585133">
          <w:marLeft w:val="1080"/>
          <w:marRight w:val="0"/>
          <w:marTop w:val="0"/>
          <w:marBottom w:val="101"/>
          <w:divBdr>
            <w:top w:val="none" w:sz="0" w:space="0" w:color="auto"/>
            <w:left w:val="none" w:sz="0" w:space="0" w:color="auto"/>
            <w:bottom w:val="none" w:sz="0" w:space="0" w:color="auto"/>
            <w:right w:val="none" w:sz="0" w:space="0" w:color="auto"/>
          </w:divBdr>
        </w:div>
        <w:div w:id="2072389777">
          <w:marLeft w:val="1080"/>
          <w:marRight w:val="0"/>
          <w:marTop w:val="0"/>
          <w:marBottom w:val="101"/>
          <w:divBdr>
            <w:top w:val="none" w:sz="0" w:space="0" w:color="auto"/>
            <w:left w:val="none" w:sz="0" w:space="0" w:color="auto"/>
            <w:bottom w:val="none" w:sz="0" w:space="0" w:color="auto"/>
            <w:right w:val="none" w:sz="0" w:space="0" w:color="auto"/>
          </w:divBdr>
        </w:div>
        <w:div w:id="1620606838">
          <w:marLeft w:val="1080"/>
          <w:marRight w:val="0"/>
          <w:marTop w:val="0"/>
          <w:marBottom w:val="101"/>
          <w:divBdr>
            <w:top w:val="none" w:sz="0" w:space="0" w:color="auto"/>
            <w:left w:val="none" w:sz="0" w:space="0" w:color="auto"/>
            <w:bottom w:val="none" w:sz="0" w:space="0" w:color="auto"/>
            <w:right w:val="none" w:sz="0" w:space="0" w:color="auto"/>
          </w:divBdr>
        </w:div>
        <w:div w:id="309988676">
          <w:marLeft w:val="1080"/>
          <w:marRight w:val="0"/>
          <w:marTop w:val="0"/>
          <w:marBottom w:val="101"/>
          <w:divBdr>
            <w:top w:val="none" w:sz="0" w:space="0" w:color="auto"/>
            <w:left w:val="none" w:sz="0" w:space="0" w:color="auto"/>
            <w:bottom w:val="none" w:sz="0" w:space="0" w:color="auto"/>
            <w:right w:val="none" w:sz="0" w:space="0" w:color="auto"/>
          </w:divBdr>
        </w:div>
        <w:div w:id="1894652924">
          <w:marLeft w:val="1080"/>
          <w:marRight w:val="0"/>
          <w:marTop w:val="0"/>
          <w:marBottom w:val="101"/>
          <w:divBdr>
            <w:top w:val="none" w:sz="0" w:space="0" w:color="auto"/>
            <w:left w:val="none" w:sz="0" w:space="0" w:color="auto"/>
            <w:bottom w:val="none" w:sz="0" w:space="0" w:color="auto"/>
            <w:right w:val="none" w:sz="0" w:space="0" w:color="auto"/>
          </w:divBdr>
        </w:div>
        <w:div w:id="882866174">
          <w:marLeft w:val="1080"/>
          <w:marRight w:val="0"/>
          <w:marTop w:val="0"/>
          <w:marBottom w:val="101"/>
          <w:divBdr>
            <w:top w:val="none" w:sz="0" w:space="0" w:color="auto"/>
            <w:left w:val="none" w:sz="0" w:space="0" w:color="auto"/>
            <w:bottom w:val="none" w:sz="0" w:space="0" w:color="auto"/>
            <w:right w:val="none" w:sz="0" w:space="0" w:color="auto"/>
          </w:divBdr>
        </w:div>
        <w:div w:id="1781339780">
          <w:marLeft w:val="1080"/>
          <w:marRight w:val="0"/>
          <w:marTop w:val="0"/>
          <w:marBottom w:val="101"/>
          <w:divBdr>
            <w:top w:val="none" w:sz="0" w:space="0" w:color="auto"/>
            <w:left w:val="none" w:sz="0" w:space="0" w:color="auto"/>
            <w:bottom w:val="none" w:sz="0" w:space="0" w:color="auto"/>
            <w:right w:val="none" w:sz="0" w:space="0" w:color="auto"/>
          </w:divBdr>
        </w:div>
        <w:div w:id="1223295841">
          <w:marLeft w:val="720"/>
          <w:marRight w:val="0"/>
          <w:marTop w:val="0"/>
          <w:marBottom w:val="101"/>
          <w:divBdr>
            <w:top w:val="none" w:sz="0" w:space="0" w:color="auto"/>
            <w:left w:val="none" w:sz="0" w:space="0" w:color="auto"/>
            <w:bottom w:val="none" w:sz="0" w:space="0" w:color="auto"/>
            <w:right w:val="none" w:sz="0" w:space="0" w:color="auto"/>
          </w:divBdr>
        </w:div>
        <w:div w:id="397484796">
          <w:marLeft w:val="720"/>
          <w:marRight w:val="0"/>
          <w:marTop w:val="0"/>
          <w:marBottom w:val="101"/>
          <w:divBdr>
            <w:top w:val="none" w:sz="0" w:space="0" w:color="auto"/>
            <w:left w:val="none" w:sz="0" w:space="0" w:color="auto"/>
            <w:bottom w:val="none" w:sz="0" w:space="0" w:color="auto"/>
            <w:right w:val="none" w:sz="0" w:space="0" w:color="auto"/>
          </w:divBdr>
        </w:div>
        <w:div w:id="946349739">
          <w:marLeft w:val="720"/>
          <w:marRight w:val="0"/>
          <w:marTop w:val="0"/>
          <w:marBottom w:val="101"/>
          <w:divBdr>
            <w:top w:val="none" w:sz="0" w:space="0" w:color="auto"/>
            <w:left w:val="none" w:sz="0" w:space="0" w:color="auto"/>
            <w:bottom w:val="none" w:sz="0" w:space="0" w:color="auto"/>
            <w:right w:val="none" w:sz="0" w:space="0" w:color="auto"/>
          </w:divBdr>
        </w:div>
        <w:div w:id="2120643769">
          <w:marLeft w:val="720"/>
          <w:marRight w:val="0"/>
          <w:marTop w:val="0"/>
          <w:marBottom w:val="101"/>
          <w:divBdr>
            <w:top w:val="none" w:sz="0" w:space="0" w:color="auto"/>
            <w:left w:val="none" w:sz="0" w:space="0" w:color="auto"/>
            <w:bottom w:val="none" w:sz="0" w:space="0" w:color="auto"/>
            <w:right w:val="none" w:sz="0" w:space="0" w:color="auto"/>
          </w:divBdr>
        </w:div>
        <w:div w:id="2130733092">
          <w:marLeft w:val="720"/>
          <w:marRight w:val="0"/>
          <w:marTop w:val="0"/>
          <w:marBottom w:val="101"/>
          <w:divBdr>
            <w:top w:val="none" w:sz="0" w:space="0" w:color="auto"/>
            <w:left w:val="none" w:sz="0" w:space="0" w:color="auto"/>
            <w:bottom w:val="none" w:sz="0" w:space="0" w:color="auto"/>
            <w:right w:val="none" w:sz="0" w:space="0" w:color="auto"/>
          </w:divBdr>
        </w:div>
        <w:div w:id="1146777486">
          <w:marLeft w:val="0"/>
          <w:marRight w:val="0"/>
          <w:marTop w:val="0"/>
          <w:marBottom w:val="101"/>
          <w:divBdr>
            <w:top w:val="none" w:sz="0" w:space="0" w:color="auto"/>
            <w:left w:val="none" w:sz="0" w:space="0" w:color="auto"/>
            <w:bottom w:val="none" w:sz="0" w:space="0" w:color="auto"/>
            <w:right w:val="none" w:sz="0" w:space="0" w:color="auto"/>
          </w:divBdr>
        </w:div>
        <w:div w:id="1086029638">
          <w:marLeft w:val="0"/>
          <w:marRight w:val="0"/>
          <w:marTop w:val="0"/>
          <w:marBottom w:val="101"/>
          <w:divBdr>
            <w:top w:val="none" w:sz="0" w:space="0" w:color="auto"/>
            <w:left w:val="none" w:sz="0" w:space="0" w:color="auto"/>
            <w:bottom w:val="none" w:sz="0" w:space="0" w:color="auto"/>
            <w:right w:val="none" w:sz="0" w:space="0" w:color="auto"/>
          </w:divBdr>
        </w:div>
        <w:div w:id="1270548194">
          <w:marLeft w:val="0"/>
          <w:marRight w:val="0"/>
          <w:marTop w:val="0"/>
          <w:marBottom w:val="101"/>
          <w:divBdr>
            <w:top w:val="none" w:sz="0" w:space="0" w:color="auto"/>
            <w:left w:val="none" w:sz="0" w:space="0" w:color="auto"/>
            <w:bottom w:val="none" w:sz="0" w:space="0" w:color="auto"/>
            <w:right w:val="none" w:sz="0" w:space="0" w:color="auto"/>
          </w:divBdr>
        </w:div>
        <w:div w:id="558975836">
          <w:marLeft w:val="0"/>
          <w:marRight w:val="0"/>
          <w:marTop w:val="0"/>
          <w:marBottom w:val="101"/>
          <w:divBdr>
            <w:top w:val="none" w:sz="0" w:space="0" w:color="auto"/>
            <w:left w:val="none" w:sz="0" w:space="0" w:color="auto"/>
            <w:bottom w:val="none" w:sz="0" w:space="0" w:color="auto"/>
            <w:right w:val="none" w:sz="0" w:space="0" w:color="auto"/>
          </w:divBdr>
        </w:div>
        <w:div w:id="698243859">
          <w:marLeft w:val="0"/>
          <w:marRight w:val="0"/>
          <w:marTop w:val="0"/>
          <w:marBottom w:val="101"/>
          <w:divBdr>
            <w:top w:val="none" w:sz="0" w:space="0" w:color="auto"/>
            <w:left w:val="none" w:sz="0" w:space="0" w:color="auto"/>
            <w:bottom w:val="none" w:sz="0" w:space="0" w:color="auto"/>
            <w:right w:val="none" w:sz="0" w:space="0" w:color="auto"/>
          </w:divBdr>
        </w:div>
        <w:div w:id="13848596">
          <w:marLeft w:val="0"/>
          <w:marRight w:val="0"/>
          <w:marTop w:val="0"/>
          <w:marBottom w:val="101"/>
          <w:divBdr>
            <w:top w:val="none" w:sz="0" w:space="0" w:color="auto"/>
            <w:left w:val="none" w:sz="0" w:space="0" w:color="auto"/>
            <w:bottom w:val="none" w:sz="0" w:space="0" w:color="auto"/>
            <w:right w:val="none" w:sz="0" w:space="0" w:color="auto"/>
          </w:divBdr>
        </w:div>
        <w:div w:id="966468661">
          <w:marLeft w:val="0"/>
          <w:marRight w:val="0"/>
          <w:marTop w:val="0"/>
          <w:marBottom w:val="101"/>
          <w:divBdr>
            <w:top w:val="none" w:sz="0" w:space="0" w:color="auto"/>
            <w:left w:val="none" w:sz="0" w:space="0" w:color="auto"/>
            <w:bottom w:val="none" w:sz="0" w:space="0" w:color="auto"/>
            <w:right w:val="none" w:sz="0" w:space="0" w:color="auto"/>
          </w:divBdr>
        </w:div>
        <w:div w:id="428743018">
          <w:marLeft w:val="0"/>
          <w:marRight w:val="0"/>
          <w:marTop w:val="0"/>
          <w:marBottom w:val="101"/>
          <w:divBdr>
            <w:top w:val="none" w:sz="0" w:space="0" w:color="auto"/>
            <w:left w:val="none" w:sz="0" w:space="0" w:color="auto"/>
            <w:bottom w:val="none" w:sz="0" w:space="0" w:color="auto"/>
            <w:right w:val="none" w:sz="0" w:space="0" w:color="auto"/>
          </w:divBdr>
        </w:div>
        <w:div w:id="62410109">
          <w:marLeft w:val="0"/>
          <w:marRight w:val="0"/>
          <w:marTop w:val="0"/>
          <w:marBottom w:val="101"/>
          <w:divBdr>
            <w:top w:val="none" w:sz="0" w:space="0" w:color="auto"/>
            <w:left w:val="none" w:sz="0" w:space="0" w:color="auto"/>
            <w:bottom w:val="none" w:sz="0" w:space="0" w:color="auto"/>
            <w:right w:val="none" w:sz="0" w:space="0" w:color="auto"/>
          </w:divBdr>
        </w:div>
        <w:div w:id="1353990378">
          <w:marLeft w:val="0"/>
          <w:marRight w:val="0"/>
          <w:marTop w:val="0"/>
          <w:marBottom w:val="101"/>
          <w:divBdr>
            <w:top w:val="none" w:sz="0" w:space="0" w:color="auto"/>
            <w:left w:val="none" w:sz="0" w:space="0" w:color="auto"/>
            <w:bottom w:val="none" w:sz="0" w:space="0" w:color="auto"/>
            <w:right w:val="none" w:sz="0" w:space="0" w:color="auto"/>
          </w:divBdr>
        </w:div>
        <w:div w:id="1790583723">
          <w:marLeft w:val="0"/>
          <w:marRight w:val="0"/>
          <w:marTop w:val="0"/>
          <w:marBottom w:val="101"/>
          <w:divBdr>
            <w:top w:val="none" w:sz="0" w:space="0" w:color="auto"/>
            <w:left w:val="none" w:sz="0" w:space="0" w:color="auto"/>
            <w:bottom w:val="none" w:sz="0" w:space="0" w:color="auto"/>
            <w:right w:val="none" w:sz="0" w:space="0" w:color="auto"/>
          </w:divBdr>
        </w:div>
        <w:div w:id="1703433241">
          <w:marLeft w:val="0"/>
          <w:marRight w:val="0"/>
          <w:marTop w:val="0"/>
          <w:marBottom w:val="101"/>
          <w:divBdr>
            <w:top w:val="none" w:sz="0" w:space="0" w:color="auto"/>
            <w:left w:val="none" w:sz="0" w:space="0" w:color="auto"/>
            <w:bottom w:val="none" w:sz="0" w:space="0" w:color="auto"/>
            <w:right w:val="none" w:sz="0" w:space="0" w:color="auto"/>
          </w:divBdr>
        </w:div>
        <w:div w:id="1704865137">
          <w:marLeft w:val="0"/>
          <w:marRight w:val="0"/>
          <w:marTop w:val="0"/>
          <w:marBottom w:val="101"/>
          <w:divBdr>
            <w:top w:val="none" w:sz="0" w:space="0" w:color="auto"/>
            <w:left w:val="none" w:sz="0" w:space="0" w:color="auto"/>
            <w:bottom w:val="none" w:sz="0" w:space="0" w:color="auto"/>
            <w:right w:val="none" w:sz="0" w:space="0" w:color="auto"/>
          </w:divBdr>
        </w:div>
        <w:div w:id="1673333145">
          <w:marLeft w:val="0"/>
          <w:marRight w:val="0"/>
          <w:marTop w:val="0"/>
          <w:marBottom w:val="101"/>
          <w:divBdr>
            <w:top w:val="none" w:sz="0" w:space="0" w:color="auto"/>
            <w:left w:val="none" w:sz="0" w:space="0" w:color="auto"/>
            <w:bottom w:val="none" w:sz="0" w:space="0" w:color="auto"/>
            <w:right w:val="none" w:sz="0" w:space="0" w:color="auto"/>
          </w:divBdr>
        </w:div>
        <w:div w:id="733623314">
          <w:marLeft w:val="0"/>
          <w:marRight w:val="0"/>
          <w:marTop w:val="0"/>
          <w:marBottom w:val="101"/>
          <w:divBdr>
            <w:top w:val="none" w:sz="0" w:space="0" w:color="auto"/>
            <w:left w:val="none" w:sz="0" w:space="0" w:color="auto"/>
            <w:bottom w:val="none" w:sz="0" w:space="0" w:color="auto"/>
            <w:right w:val="none" w:sz="0" w:space="0" w:color="auto"/>
          </w:divBdr>
        </w:div>
        <w:div w:id="1032849340">
          <w:marLeft w:val="0"/>
          <w:marRight w:val="0"/>
          <w:marTop w:val="0"/>
          <w:marBottom w:val="101"/>
          <w:divBdr>
            <w:top w:val="none" w:sz="0" w:space="0" w:color="auto"/>
            <w:left w:val="none" w:sz="0" w:space="0" w:color="auto"/>
            <w:bottom w:val="none" w:sz="0" w:space="0" w:color="auto"/>
            <w:right w:val="none" w:sz="0" w:space="0" w:color="auto"/>
          </w:divBdr>
        </w:div>
        <w:div w:id="934871235">
          <w:marLeft w:val="0"/>
          <w:marRight w:val="0"/>
          <w:marTop w:val="0"/>
          <w:marBottom w:val="101"/>
          <w:divBdr>
            <w:top w:val="none" w:sz="0" w:space="0" w:color="auto"/>
            <w:left w:val="none" w:sz="0" w:space="0" w:color="auto"/>
            <w:bottom w:val="none" w:sz="0" w:space="0" w:color="auto"/>
            <w:right w:val="none" w:sz="0" w:space="0" w:color="auto"/>
          </w:divBdr>
        </w:div>
        <w:div w:id="1098333775">
          <w:marLeft w:val="0"/>
          <w:marRight w:val="0"/>
          <w:marTop w:val="0"/>
          <w:marBottom w:val="101"/>
          <w:divBdr>
            <w:top w:val="none" w:sz="0" w:space="0" w:color="auto"/>
            <w:left w:val="none" w:sz="0" w:space="0" w:color="auto"/>
            <w:bottom w:val="none" w:sz="0" w:space="0" w:color="auto"/>
            <w:right w:val="none" w:sz="0" w:space="0" w:color="auto"/>
          </w:divBdr>
        </w:div>
        <w:div w:id="136411149">
          <w:marLeft w:val="0"/>
          <w:marRight w:val="0"/>
          <w:marTop w:val="0"/>
          <w:marBottom w:val="101"/>
          <w:divBdr>
            <w:top w:val="none" w:sz="0" w:space="0" w:color="auto"/>
            <w:left w:val="none" w:sz="0" w:space="0" w:color="auto"/>
            <w:bottom w:val="none" w:sz="0" w:space="0" w:color="auto"/>
            <w:right w:val="none" w:sz="0" w:space="0" w:color="auto"/>
          </w:divBdr>
        </w:div>
        <w:div w:id="958031226">
          <w:marLeft w:val="0"/>
          <w:marRight w:val="0"/>
          <w:marTop w:val="0"/>
          <w:marBottom w:val="101"/>
          <w:divBdr>
            <w:top w:val="none" w:sz="0" w:space="0" w:color="auto"/>
            <w:left w:val="none" w:sz="0" w:space="0" w:color="auto"/>
            <w:bottom w:val="none" w:sz="0" w:space="0" w:color="auto"/>
            <w:right w:val="none" w:sz="0" w:space="0" w:color="auto"/>
          </w:divBdr>
        </w:div>
        <w:div w:id="408893226">
          <w:marLeft w:val="0"/>
          <w:marRight w:val="0"/>
          <w:marTop w:val="0"/>
          <w:marBottom w:val="101"/>
          <w:divBdr>
            <w:top w:val="none" w:sz="0" w:space="0" w:color="auto"/>
            <w:left w:val="none" w:sz="0" w:space="0" w:color="auto"/>
            <w:bottom w:val="none" w:sz="0" w:space="0" w:color="auto"/>
            <w:right w:val="none" w:sz="0" w:space="0" w:color="auto"/>
          </w:divBdr>
        </w:div>
        <w:div w:id="1656298164">
          <w:marLeft w:val="0"/>
          <w:marRight w:val="0"/>
          <w:marTop w:val="0"/>
          <w:marBottom w:val="101"/>
          <w:divBdr>
            <w:top w:val="none" w:sz="0" w:space="0" w:color="auto"/>
            <w:left w:val="none" w:sz="0" w:space="0" w:color="auto"/>
            <w:bottom w:val="none" w:sz="0" w:space="0" w:color="auto"/>
            <w:right w:val="none" w:sz="0" w:space="0" w:color="auto"/>
          </w:divBdr>
        </w:div>
        <w:div w:id="222565707">
          <w:marLeft w:val="0"/>
          <w:marRight w:val="0"/>
          <w:marTop w:val="0"/>
          <w:marBottom w:val="101"/>
          <w:divBdr>
            <w:top w:val="none" w:sz="0" w:space="0" w:color="auto"/>
            <w:left w:val="none" w:sz="0" w:space="0" w:color="auto"/>
            <w:bottom w:val="none" w:sz="0" w:space="0" w:color="auto"/>
            <w:right w:val="none" w:sz="0" w:space="0" w:color="auto"/>
          </w:divBdr>
        </w:div>
        <w:div w:id="1828980994">
          <w:marLeft w:val="0"/>
          <w:marRight w:val="0"/>
          <w:marTop w:val="0"/>
          <w:marBottom w:val="101"/>
          <w:divBdr>
            <w:top w:val="none" w:sz="0" w:space="0" w:color="auto"/>
            <w:left w:val="none" w:sz="0" w:space="0" w:color="auto"/>
            <w:bottom w:val="none" w:sz="0" w:space="0" w:color="auto"/>
            <w:right w:val="none" w:sz="0" w:space="0" w:color="auto"/>
          </w:divBdr>
        </w:div>
        <w:div w:id="326519410">
          <w:marLeft w:val="0"/>
          <w:marRight w:val="0"/>
          <w:marTop w:val="0"/>
          <w:marBottom w:val="101"/>
          <w:divBdr>
            <w:top w:val="none" w:sz="0" w:space="0" w:color="auto"/>
            <w:left w:val="none" w:sz="0" w:space="0" w:color="auto"/>
            <w:bottom w:val="none" w:sz="0" w:space="0" w:color="auto"/>
            <w:right w:val="none" w:sz="0" w:space="0" w:color="auto"/>
          </w:divBdr>
        </w:div>
        <w:div w:id="399838279">
          <w:marLeft w:val="0"/>
          <w:marRight w:val="0"/>
          <w:marTop w:val="0"/>
          <w:marBottom w:val="101"/>
          <w:divBdr>
            <w:top w:val="none" w:sz="0" w:space="0" w:color="auto"/>
            <w:left w:val="none" w:sz="0" w:space="0" w:color="auto"/>
            <w:bottom w:val="none" w:sz="0" w:space="0" w:color="auto"/>
            <w:right w:val="none" w:sz="0" w:space="0" w:color="auto"/>
          </w:divBdr>
        </w:div>
        <w:div w:id="75589080">
          <w:marLeft w:val="0"/>
          <w:marRight w:val="0"/>
          <w:marTop w:val="0"/>
          <w:marBottom w:val="101"/>
          <w:divBdr>
            <w:top w:val="none" w:sz="0" w:space="0" w:color="auto"/>
            <w:left w:val="none" w:sz="0" w:space="0" w:color="auto"/>
            <w:bottom w:val="none" w:sz="0" w:space="0" w:color="auto"/>
            <w:right w:val="none" w:sz="0" w:space="0" w:color="auto"/>
          </w:divBdr>
        </w:div>
        <w:div w:id="1030760785">
          <w:marLeft w:val="0"/>
          <w:marRight w:val="0"/>
          <w:marTop w:val="0"/>
          <w:marBottom w:val="101"/>
          <w:divBdr>
            <w:top w:val="none" w:sz="0" w:space="0" w:color="auto"/>
            <w:left w:val="none" w:sz="0" w:space="0" w:color="auto"/>
            <w:bottom w:val="none" w:sz="0" w:space="0" w:color="auto"/>
            <w:right w:val="none" w:sz="0" w:space="0" w:color="auto"/>
          </w:divBdr>
        </w:div>
        <w:div w:id="647823853">
          <w:marLeft w:val="0"/>
          <w:marRight w:val="0"/>
          <w:marTop w:val="0"/>
          <w:marBottom w:val="101"/>
          <w:divBdr>
            <w:top w:val="none" w:sz="0" w:space="0" w:color="auto"/>
            <w:left w:val="none" w:sz="0" w:space="0" w:color="auto"/>
            <w:bottom w:val="none" w:sz="0" w:space="0" w:color="auto"/>
            <w:right w:val="none" w:sz="0" w:space="0" w:color="auto"/>
          </w:divBdr>
        </w:div>
        <w:div w:id="1655525979">
          <w:marLeft w:val="0"/>
          <w:marRight w:val="0"/>
          <w:marTop w:val="0"/>
          <w:marBottom w:val="101"/>
          <w:divBdr>
            <w:top w:val="none" w:sz="0" w:space="0" w:color="auto"/>
            <w:left w:val="none" w:sz="0" w:space="0" w:color="auto"/>
            <w:bottom w:val="none" w:sz="0" w:space="0" w:color="auto"/>
            <w:right w:val="none" w:sz="0" w:space="0" w:color="auto"/>
          </w:divBdr>
        </w:div>
        <w:div w:id="70547435">
          <w:marLeft w:val="0"/>
          <w:marRight w:val="0"/>
          <w:marTop w:val="0"/>
          <w:marBottom w:val="101"/>
          <w:divBdr>
            <w:top w:val="none" w:sz="0" w:space="0" w:color="auto"/>
            <w:left w:val="none" w:sz="0" w:space="0" w:color="auto"/>
            <w:bottom w:val="none" w:sz="0" w:space="0" w:color="auto"/>
            <w:right w:val="none" w:sz="0" w:space="0" w:color="auto"/>
          </w:divBdr>
        </w:div>
        <w:div w:id="794368364">
          <w:marLeft w:val="0"/>
          <w:marRight w:val="0"/>
          <w:marTop w:val="0"/>
          <w:marBottom w:val="101"/>
          <w:divBdr>
            <w:top w:val="none" w:sz="0" w:space="0" w:color="auto"/>
            <w:left w:val="none" w:sz="0" w:space="0" w:color="auto"/>
            <w:bottom w:val="none" w:sz="0" w:space="0" w:color="auto"/>
            <w:right w:val="none" w:sz="0" w:space="0" w:color="auto"/>
          </w:divBdr>
        </w:div>
        <w:div w:id="1451823750">
          <w:marLeft w:val="0"/>
          <w:marRight w:val="0"/>
          <w:marTop w:val="0"/>
          <w:marBottom w:val="101"/>
          <w:divBdr>
            <w:top w:val="none" w:sz="0" w:space="0" w:color="auto"/>
            <w:left w:val="none" w:sz="0" w:space="0" w:color="auto"/>
            <w:bottom w:val="none" w:sz="0" w:space="0" w:color="auto"/>
            <w:right w:val="none" w:sz="0" w:space="0" w:color="auto"/>
          </w:divBdr>
        </w:div>
        <w:div w:id="795563051">
          <w:marLeft w:val="0"/>
          <w:marRight w:val="0"/>
          <w:marTop w:val="0"/>
          <w:marBottom w:val="101"/>
          <w:divBdr>
            <w:top w:val="none" w:sz="0" w:space="0" w:color="auto"/>
            <w:left w:val="none" w:sz="0" w:space="0" w:color="auto"/>
            <w:bottom w:val="none" w:sz="0" w:space="0" w:color="auto"/>
            <w:right w:val="none" w:sz="0" w:space="0" w:color="auto"/>
          </w:divBdr>
        </w:div>
        <w:div w:id="150830468">
          <w:marLeft w:val="0"/>
          <w:marRight w:val="0"/>
          <w:marTop w:val="0"/>
          <w:marBottom w:val="101"/>
          <w:divBdr>
            <w:top w:val="none" w:sz="0" w:space="0" w:color="auto"/>
            <w:left w:val="none" w:sz="0" w:space="0" w:color="auto"/>
            <w:bottom w:val="none" w:sz="0" w:space="0" w:color="auto"/>
            <w:right w:val="none" w:sz="0" w:space="0" w:color="auto"/>
          </w:divBdr>
        </w:div>
        <w:div w:id="1613442407">
          <w:marLeft w:val="0"/>
          <w:marRight w:val="0"/>
          <w:marTop w:val="0"/>
          <w:marBottom w:val="101"/>
          <w:divBdr>
            <w:top w:val="none" w:sz="0" w:space="0" w:color="auto"/>
            <w:left w:val="none" w:sz="0" w:space="0" w:color="auto"/>
            <w:bottom w:val="none" w:sz="0" w:space="0" w:color="auto"/>
            <w:right w:val="none" w:sz="0" w:space="0" w:color="auto"/>
          </w:divBdr>
        </w:div>
        <w:div w:id="133912028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6660</Words>
  <Characters>36633</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2023-10-13T16:53:00Z</dcterms:created>
  <dcterms:modified xsi:type="dcterms:W3CDTF">2023-10-13T16:54:00Z</dcterms:modified>
</cp:coreProperties>
</file>