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BE9" w:rsidRDefault="006D0BE9" w:rsidP="006D0BE9">
      <w:pPr>
        <w:jc w:val="center"/>
        <w:rPr>
          <w:rFonts w:ascii="Verdana" w:eastAsia="Verdana" w:hAnsi="Verdana" w:cs="Verdana"/>
          <w:b/>
          <w:color w:val="0000FF"/>
          <w:sz w:val="24"/>
          <w:szCs w:val="24"/>
        </w:rPr>
      </w:pPr>
      <w:r w:rsidRPr="006D0BE9">
        <w:rPr>
          <w:rFonts w:ascii="Verdana" w:eastAsia="Verdana" w:hAnsi="Verdana" w:cs="Verdana"/>
          <w:b/>
          <w:color w:val="0000FF"/>
          <w:sz w:val="24"/>
          <w:szCs w:val="24"/>
        </w:rPr>
        <w:t xml:space="preserve">ACUERDO por el que se da a conocer el cambio de horario de atención de la Oficina de Pasaportes de la Secretaría de Relaciones Exteriores en la demarcación territorial Miguel Hidalgo, en la Ciudad de México.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bookmarkEnd w:id="0"/>
    </w:p>
    <w:p w:rsidR="00B32171" w:rsidRDefault="006D0BE9" w:rsidP="006D0BE9">
      <w:pPr>
        <w:jc w:val="both"/>
        <w:rPr>
          <w:rFonts w:ascii="Arial" w:hAnsi="Arial" w:cs="Arial"/>
          <w:b/>
          <w:color w:val="262626" w:themeColor="text1" w:themeTint="D9"/>
          <w:sz w:val="18"/>
        </w:rPr>
      </w:pPr>
      <w:r w:rsidRPr="006D0BE9">
        <w:rPr>
          <w:rFonts w:ascii="Arial" w:hAnsi="Arial" w:cs="Arial"/>
          <w:b/>
          <w:color w:val="262626" w:themeColor="text1" w:themeTint="D9"/>
          <w:sz w:val="18"/>
        </w:rPr>
        <w:t>Al margen un sello con el Escudo Nacional, que dice: Estados Unidos Mexicanos.- Secretaría de Relaciones Exteriores.</w:t>
      </w:r>
    </w:p>
    <w:p w:rsidR="006D0BE9" w:rsidRPr="006D0BE9" w:rsidRDefault="006D0BE9" w:rsidP="006D0BE9">
      <w:pPr>
        <w:shd w:val="clear" w:color="auto" w:fill="FFFFFF"/>
        <w:spacing w:after="20" w:line="240" w:lineRule="auto"/>
        <w:ind w:firstLine="288"/>
        <w:jc w:val="both"/>
        <w:rPr>
          <w:rFonts w:ascii="Arial" w:eastAsia="Times New Roman" w:hAnsi="Arial" w:cs="Arial"/>
          <w:color w:val="2F2F2F"/>
          <w:sz w:val="18"/>
          <w:szCs w:val="18"/>
          <w:lang w:eastAsia="es-MX"/>
        </w:rPr>
      </w:pPr>
      <w:r w:rsidRPr="006D0BE9">
        <w:rPr>
          <w:rFonts w:ascii="Arial" w:eastAsia="Times New Roman" w:hAnsi="Arial" w:cs="Arial"/>
          <w:color w:val="2F2F2F"/>
          <w:sz w:val="18"/>
          <w:szCs w:val="18"/>
          <w:lang w:eastAsia="es-MX"/>
        </w:rPr>
        <w:t>JOSÉ ANTONIO DOMÍNGUEZ CARBALLO,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6, inciso A), fracción VII, 15, fracciones II y XXXI, 72 y 73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6D0BE9" w:rsidRPr="006D0BE9" w:rsidRDefault="006D0BE9" w:rsidP="006D0BE9">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6D0BE9">
        <w:rPr>
          <w:rFonts w:ascii="Times" w:eastAsia="Times New Roman" w:hAnsi="Times" w:cs="Times"/>
          <w:b/>
          <w:bCs/>
          <w:color w:val="2F2F2F"/>
          <w:sz w:val="18"/>
          <w:szCs w:val="18"/>
          <w:lang w:eastAsia="es-MX"/>
        </w:rPr>
        <w:t>CONSIDERANDO</w:t>
      </w:r>
    </w:p>
    <w:p w:rsidR="006D0BE9" w:rsidRPr="006D0BE9" w:rsidRDefault="006D0BE9" w:rsidP="006D0BE9">
      <w:pPr>
        <w:shd w:val="clear" w:color="auto" w:fill="FFFFFF"/>
        <w:spacing w:after="20" w:line="240" w:lineRule="auto"/>
        <w:ind w:firstLine="288"/>
        <w:jc w:val="both"/>
        <w:rPr>
          <w:rFonts w:ascii="Arial" w:eastAsia="Times New Roman" w:hAnsi="Arial" w:cs="Arial"/>
          <w:color w:val="2F2F2F"/>
          <w:sz w:val="18"/>
          <w:szCs w:val="18"/>
          <w:lang w:eastAsia="es-MX"/>
        </w:rPr>
      </w:pPr>
      <w:r w:rsidRPr="006D0BE9">
        <w:rPr>
          <w:rFonts w:ascii="Arial" w:eastAsia="Times New Roman" w:hAnsi="Arial" w:cs="Arial"/>
          <w:color w:val="2F2F2F"/>
          <w:sz w:val="18"/>
          <w:szCs w:val="18"/>
          <w:lang w:eastAsia="es-MX"/>
        </w:rPr>
        <w:t>Que de conformidad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6D0BE9" w:rsidRPr="006D0BE9" w:rsidRDefault="006D0BE9" w:rsidP="006D0BE9">
      <w:pPr>
        <w:shd w:val="clear" w:color="auto" w:fill="FFFFFF"/>
        <w:spacing w:after="20" w:line="240" w:lineRule="auto"/>
        <w:ind w:firstLine="288"/>
        <w:jc w:val="both"/>
        <w:rPr>
          <w:rFonts w:ascii="Arial" w:eastAsia="Times New Roman" w:hAnsi="Arial" w:cs="Arial"/>
          <w:color w:val="2F2F2F"/>
          <w:sz w:val="18"/>
          <w:szCs w:val="18"/>
          <w:lang w:eastAsia="es-MX"/>
        </w:rPr>
      </w:pPr>
      <w:r w:rsidRPr="006D0BE9">
        <w:rPr>
          <w:rFonts w:ascii="Arial" w:eastAsia="Times New Roman" w:hAnsi="Arial" w:cs="Arial"/>
          <w:color w:val="2F2F2F"/>
          <w:sz w:val="18"/>
          <w:szCs w:val="18"/>
          <w:lang w:eastAsia="es-MX"/>
        </w:rPr>
        <w:t>Que el artículo 3 del Reglamento de Pasaportes y del Documento de Identidad y Viaje, establece que la Secretaría de Relaciones Exteriores expide pasaportes ordinarios en territorio nacional, por conducto de sus delegaciones y subdelegaciones;</w:t>
      </w:r>
    </w:p>
    <w:p w:rsidR="006D0BE9" w:rsidRPr="006D0BE9" w:rsidRDefault="006D0BE9" w:rsidP="006D0BE9">
      <w:pPr>
        <w:shd w:val="clear" w:color="auto" w:fill="FFFFFF"/>
        <w:spacing w:after="20" w:line="240" w:lineRule="auto"/>
        <w:ind w:firstLine="288"/>
        <w:jc w:val="both"/>
        <w:rPr>
          <w:rFonts w:ascii="Arial" w:eastAsia="Times New Roman" w:hAnsi="Arial" w:cs="Arial"/>
          <w:color w:val="2F2F2F"/>
          <w:sz w:val="18"/>
          <w:szCs w:val="18"/>
          <w:lang w:eastAsia="es-MX"/>
        </w:rPr>
      </w:pPr>
      <w:r w:rsidRPr="006D0BE9">
        <w:rPr>
          <w:rFonts w:ascii="Arial" w:eastAsia="Times New Roman" w:hAnsi="Arial" w:cs="Arial"/>
          <w:color w:val="2F2F2F"/>
          <w:sz w:val="18"/>
          <w:szCs w:val="18"/>
          <w:lang w:eastAsia="es-MX"/>
        </w:rPr>
        <w:t>Que de acuerdo con el Artículo Tercero Transitorio del Reglamento Interior de la Secretaría de Relaciones Exteriores, publicado en el Diario Oficial de la Federación el 14 de junio de 2021, las entonces Delegaciones de esta Secretaría, corresponden actualmente a las Oficinas de Pasaportes, señaladas en el artículo 6, apartado A, fracción XI del citado ordenamiento reglamentario;</w:t>
      </w:r>
    </w:p>
    <w:p w:rsidR="006D0BE9" w:rsidRPr="006D0BE9" w:rsidRDefault="006D0BE9" w:rsidP="006D0BE9">
      <w:pPr>
        <w:shd w:val="clear" w:color="auto" w:fill="FFFFFF"/>
        <w:spacing w:after="20" w:line="240" w:lineRule="auto"/>
        <w:ind w:firstLine="288"/>
        <w:jc w:val="both"/>
        <w:rPr>
          <w:rFonts w:ascii="Arial" w:eastAsia="Times New Roman" w:hAnsi="Arial" w:cs="Arial"/>
          <w:color w:val="2F2F2F"/>
          <w:sz w:val="18"/>
          <w:szCs w:val="18"/>
          <w:lang w:eastAsia="es-MX"/>
        </w:rPr>
      </w:pPr>
      <w:r w:rsidRPr="006D0BE9">
        <w:rPr>
          <w:rFonts w:ascii="Arial" w:eastAsia="Times New Roman" w:hAnsi="Arial" w:cs="Arial"/>
          <w:color w:val="2F2F2F"/>
          <w:sz w:val="18"/>
          <w:szCs w:val="18"/>
          <w:lang w:eastAsia="es-MX"/>
        </w:rPr>
        <w:t>Que de conformidad con lo dispuesto por el artículo 72 del Reglamento Interior de la Secretaría de Relaciones Exteriores, corresponde a las Oficinas de Pasaportes expedir pasaportes ordinarios y legalizar firmas de los documentos públicos que deban producir efectos en el extranjero;</w:t>
      </w:r>
    </w:p>
    <w:p w:rsidR="006D0BE9" w:rsidRPr="006D0BE9" w:rsidRDefault="006D0BE9" w:rsidP="006D0BE9">
      <w:pPr>
        <w:shd w:val="clear" w:color="auto" w:fill="FFFFFF"/>
        <w:spacing w:after="20" w:line="240" w:lineRule="auto"/>
        <w:ind w:firstLine="288"/>
        <w:jc w:val="both"/>
        <w:rPr>
          <w:rFonts w:ascii="Arial" w:eastAsia="Times New Roman" w:hAnsi="Arial" w:cs="Arial"/>
          <w:color w:val="2F2F2F"/>
          <w:sz w:val="18"/>
          <w:szCs w:val="18"/>
          <w:lang w:eastAsia="es-MX"/>
        </w:rPr>
      </w:pPr>
      <w:r w:rsidRPr="006D0BE9">
        <w:rPr>
          <w:rFonts w:ascii="Arial" w:eastAsia="Times New Roman" w:hAnsi="Arial" w:cs="Arial"/>
          <w:color w:val="2F2F2F"/>
          <w:sz w:val="18"/>
          <w:szCs w:val="18"/>
          <w:lang w:eastAsia="es-MX"/>
        </w:rPr>
        <w:t>Que conforme el Acuerdo por el que se delegan en el Oficial Mayor de la Secretaría de Relaciones Exteriores las facultades que se indican, publicado en el Diario Oficial de la Federación el 24 de noviembre de 2015, le corresponde suscribir los Acuerdos de creación, apertura, modificación, reubicación, cambio de domicilio, suspensión, cierre o desaparición de delegaciones y subdelegaciones de la Secretaría de Relaciones Exteriores;</w:t>
      </w:r>
    </w:p>
    <w:p w:rsidR="006D0BE9" w:rsidRPr="006D0BE9" w:rsidRDefault="006D0BE9" w:rsidP="006D0BE9">
      <w:pPr>
        <w:shd w:val="clear" w:color="auto" w:fill="FFFFFF"/>
        <w:spacing w:after="20" w:line="240" w:lineRule="auto"/>
        <w:ind w:firstLine="288"/>
        <w:jc w:val="both"/>
        <w:rPr>
          <w:rFonts w:ascii="Arial" w:eastAsia="Times New Roman" w:hAnsi="Arial" w:cs="Arial"/>
          <w:color w:val="2F2F2F"/>
          <w:sz w:val="18"/>
          <w:szCs w:val="18"/>
          <w:lang w:eastAsia="es-MX"/>
        </w:rPr>
      </w:pPr>
      <w:r w:rsidRPr="006D0BE9">
        <w:rPr>
          <w:rFonts w:ascii="Arial" w:eastAsia="Times New Roman" w:hAnsi="Arial" w:cs="Arial"/>
          <w:color w:val="2F2F2F"/>
          <w:sz w:val="18"/>
          <w:szCs w:val="18"/>
          <w:lang w:eastAsia="es-MX"/>
        </w:rPr>
        <w:t>Que de conformidad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w:t>
      </w:r>
    </w:p>
    <w:p w:rsidR="006D0BE9" w:rsidRPr="006D0BE9" w:rsidRDefault="006D0BE9" w:rsidP="006D0BE9">
      <w:pPr>
        <w:shd w:val="clear" w:color="auto" w:fill="FFFFFF"/>
        <w:spacing w:after="20" w:line="240" w:lineRule="auto"/>
        <w:ind w:firstLine="288"/>
        <w:jc w:val="both"/>
        <w:rPr>
          <w:rFonts w:ascii="Arial" w:eastAsia="Times New Roman" w:hAnsi="Arial" w:cs="Arial"/>
          <w:color w:val="2F2F2F"/>
          <w:sz w:val="18"/>
          <w:szCs w:val="18"/>
          <w:lang w:eastAsia="es-MX"/>
        </w:rPr>
      </w:pPr>
      <w:r w:rsidRPr="006D0BE9">
        <w:rPr>
          <w:rFonts w:ascii="Arial" w:eastAsia="Times New Roman" w:hAnsi="Arial" w:cs="Arial"/>
          <w:color w:val="2F2F2F"/>
          <w:sz w:val="18"/>
          <w:szCs w:val="18"/>
          <w:lang w:eastAsia="es-MX"/>
        </w:rPr>
        <w:t>Que el 14 de agosto de 2013, se publicó en el Diario Oficial de la Federación el Acuerdo por el que se da a conocer el domicilio y horarios de prestación de servicios de la Delegación de la Secretaría de Relaciones Exteriores en la demarcación territorial Miguel Hidalgo, en el Distrito Federal, en el que se señala que contará con un horario de atención al público de lunes a viernes de 8:00 a 15:00 horas, y</w:t>
      </w:r>
    </w:p>
    <w:p w:rsidR="006D0BE9" w:rsidRPr="006D0BE9" w:rsidRDefault="006D0BE9" w:rsidP="006D0BE9">
      <w:pPr>
        <w:shd w:val="clear" w:color="auto" w:fill="FFFFFF"/>
        <w:spacing w:after="20" w:line="240" w:lineRule="auto"/>
        <w:ind w:firstLine="288"/>
        <w:jc w:val="both"/>
        <w:rPr>
          <w:rFonts w:ascii="Arial" w:eastAsia="Times New Roman" w:hAnsi="Arial" w:cs="Arial"/>
          <w:color w:val="2F2F2F"/>
          <w:sz w:val="18"/>
          <w:szCs w:val="18"/>
          <w:lang w:eastAsia="es-MX"/>
        </w:rPr>
      </w:pPr>
      <w:r w:rsidRPr="006D0BE9">
        <w:rPr>
          <w:rFonts w:ascii="Arial" w:eastAsia="Times New Roman" w:hAnsi="Arial" w:cs="Arial"/>
          <w:color w:val="2F2F2F"/>
          <w:sz w:val="18"/>
          <w:szCs w:val="18"/>
          <w:lang w:eastAsia="es-MX"/>
        </w:rPr>
        <w:t>Que a efecto de acercar a la ciudadanía los servicios que presta la Secretaría, otorgar certeza jurídica y un servicio de calidad a los solicitantes, resulta importante mantener actualizado el directorio de las Oficinas de Pasaportes de la Secretaría de Relaciones Exteriores, siendo necesario dar a conocer el cambio de horario de atención de la Oficina de Pasaportes ubicada en la demarcación territorial Miguel Hidalgo, en la Ciudad de México, por lo que he tenido a bien dictar el siguiente:</w:t>
      </w:r>
    </w:p>
    <w:p w:rsidR="006D0BE9" w:rsidRPr="006D0BE9" w:rsidRDefault="006D0BE9" w:rsidP="006D0BE9">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6D0BE9">
        <w:rPr>
          <w:rFonts w:ascii="Times" w:eastAsia="Times New Roman" w:hAnsi="Times" w:cs="Times"/>
          <w:b/>
          <w:bCs/>
          <w:color w:val="2F2F2F"/>
          <w:sz w:val="18"/>
          <w:szCs w:val="18"/>
          <w:lang w:eastAsia="es-MX"/>
        </w:rPr>
        <w:t>ACUERDO</w:t>
      </w:r>
    </w:p>
    <w:p w:rsidR="006D0BE9" w:rsidRPr="006D0BE9" w:rsidRDefault="006D0BE9" w:rsidP="006D0BE9">
      <w:pPr>
        <w:shd w:val="clear" w:color="auto" w:fill="FFFFFF"/>
        <w:spacing w:after="20" w:line="240" w:lineRule="auto"/>
        <w:ind w:firstLine="288"/>
        <w:jc w:val="both"/>
        <w:rPr>
          <w:rFonts w:ascii="Arial" w:eastAsia="Times New Roman" w:hAnsi="Arial" w:cs="Arial"/>
          <w:color w:val="2F2F2F"/>
          <w:sz w:val="18"/>
          <w:szCs w:val="18"/>
          <w:lang w:eastAsia="es-MX"/>
        </w:rPr>
      </w:pPr>
      <w:r w:rsidRPr="006D0BE9">
        <w:rPr>
          <w:rFonts w:ascii="Arial" w:eastAsia="Times New Roman" w:hAnsi="Arial" w:cs="Arial"/>
          <w:b/>
          <w:bCs/>
          <w:color w:val="2F2F2F"/>
          <w:sz w:val="18"/>
          <w:szCs w:val="18"/>
          <w:lang w:eastAsia="es-MX"/>
        </w:rPr>
        <w:t>ÚNICO.- </w:t>
      </w:r>
      <w:r w:rsidRPr="006D0BE9">
        <w:rPr>
          <w:rFonts w:ascii="Arial" w:eastAsia="Times New Roman" w:hAnsi="Arial" w:cs="Arial"/>
          <w:color w:val="2F2F2F"/>
          <w:sz w:val="18"/>
          <w:szCs w:val="18"/>
          <w:lang w:eastAsia="es-MX"/>
        </w:rPr>
        <w:t xml:space="preserve">A partir del 16 de noviembre de 2021 el horario de atención de la Oficina de Pasaportes ubicada en Parque Lira No. 94, esquina con General </w:t>
      </w:r>
      <w:proofErr w:type="spellStart"/>
      <w:r w:rsidRPr="006D0BE9">
        <w:rPr>
          <w:rFonts w:ascii="Arial" w:eastAsia="Times New Roman" w:hAnsi="Arial" w:cs="Arial"/>
          <w:color w:val="2F2F2F"/>
          <w:sz w:val="18"/>
          <w:szCs w:val="18"/>
          <w:lang w:eastAsia="es-MX"/>
        </w:rPr>
        <w:t>Sóstenes</w:t>
      </w:r>
      <w:proofErr w:type="spellEnd"/>
      <w:r w:rsidRPr="006D0BE9">
        <w:rPr>
          <w:rFonts w:ascii="Arial" w:eastAsia="Times New Roman" w:hAnsi="Arial" w:cs="Arial"/>
          <w:color w:val="2F2F2F"/>
          <w:sz w:val="18"/>
          <w:szCs w:val="18"/>
          <w:lang w:eastAsia="es-MX"/>
        </w:rPr>
        <w:t xml:space="preserve"> Rocha, Colonia Observatorio, demarcación territorial Miguel Hidalgo, C.P. 11860, Ciudad de México, contará con un horario de atención al público de </w:t>
      </w:r>
      <w:r w:rsidRPr="006D0BE9">
        <w:rPr>
          <w:rFonts w:ascii="Arial" w:eastAsia="Times New Roman" w:hAnsi="Arial" w:cs="Arial"/>
          <w:color w:val="2F2F2F"/>
          <w:sz w:val="18"/>
          <w:szCs w:val="18"/>
          <w:lang w:eastAsia="es-MX"/>
        </w:rPr>
        <w:lastRenderedPageBreak/>
        <w:t>lunes a domingo de 8:00 a 18:00 horas, Tiempo del Centro, según lo dispuesto en la Ley del Sistema de Horario en los Estados Unidos Mexicanos.</w:t>
      </w:r>
    </w:p>
    <w:p w:rsidR="006D0BE9" w:rsidRPr="006D0BE9" w:rsidRDefault="006D0BE9" w:rsidP="006D0BE9">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6D0BE9">
        <w:rPr>
          <w:rFonts w:ascii="Times" w:eastAsia="Times New Roman" w:hAnsi="Times" w:cs="Times"/>
          <w:b/>
          <w:bCs/>
          <w:color w:val="2F2F2F"/>
          <w:sz w:val="18"/>
          <w:szCs w:val="18"/>
          <w:lang w:eastAsia="es-MX"/>
        </w:rPr>
        <w:t>TRANSITORIOS</w:t>
      </w:r>
    </w:p>
    <w:p w:rsidR="006D0BE9" w:rsidRPr="006D0BE9" w:rsidRDefault="006D0BE9" w:rsidP="006D0BE9">
      <w:pPr>
        <w:shd w:val="clear" w:color="auto" w:fill="FFFFFF"/>
        <w:spacing w:after="20" w:line="240" w:lineRule="auto"/>
        <w:ind w:firstLine="288"/>
        <w:jc w:val="both"/>
        <w:rPr>
          <w:rFonts w:ascii="Arial" w:eastAsia="Times New Roman" w:hAnsi="Arial" w:cs="Arial"/>
          <w:color w:val="2F2F2F"/>
          <w:sz w:val="18"/>
          <w:szCs w:val="18"/>
          <w:lang w:eastAsia="es-MX"/>
        </w:rPr>
      </w:pPr>
      <w:r w:rsidRPr="006D0BE9">
        <w:rPr>
          <w:rFonts w:ascii="Arial" w:eastAsia="Times New Roman" w:hAnsi="Arial" w:cs="Arial"/>
          <w:b/>
          <w:bCs/>
          <w:color w:val="2F2F2F"/>
          <w:sz w:val="18"/>
          <w:szCs w:val="18"/>
          <w:lang w:eastAsia="es-MX"/>
        </w:rPr>
        <w:t>PRIMERO.-</w:t>
      </w:r>
      <w:r w:rsidRPr="006D0BE9">
        <w:rPr>
          <w:rFonts w:ascii="Arial" w:eastAsia="Times New Roman" w:hAnsi="Arial" w:cs="Arial"/>
          <w:color w:val="2F2F2F"/>
          <w:sz w:val="18"/>
          <w:szCs w:val="18"/>
          <w:lang w:eastAsia="es-MX"/>
        </w:rPr>
        <w:t> El presente Acuerdo entrará en vigor el día 16 de noviembre de 2021.</w:t>
      </w:r>
    </w:p>
    <w:p w:rsidR="006D0BE9" w:rsidRPr="006D0BE9" w:rsidRDefault="006D0BE9" w:rsidP="006D0BE9">
      <w:pPr>
        <w:shd w:val="clear" w:color="auto" w:fill="FFFFFF"/>
        <w:spacing w:after="20" w:line="240" w:lineRule="auto"/>
        <w:ind w:firstLine="288"/>
        <w:jc w:val="both"/>
        <w:rPr>
          <w:rFonts w:ascii="Arial" w:eastAsia="Times New Roman" w:hAnsi="Arial" w:cs="Arial"/>
          <w:color w:val="2F2F2F"/>
          <w:sz w:val="18"/>
          <w:szCs w:val="18"/>
          <w:lang w:eastAsia="es-MX"/>
        </w:rPr>
      </w:pPr>
      <w:r w:rsidRPr="006D0BE9">
        <w:rPr>
          <w:rFonts w:ascii="Arial" w:eastAsia="Times New Roman" w:hAnsi="Arial" w:cs="Arial"/>
          <w:b/>
          <w:bCs/>
          <w:color w:val="2F2F2F"/>
          <w:sz w:val="18"/>
          <w:szCs w:val="18"/>
          <w:lang w:eastAsia="es-MX"/>
        </w:rPr>
        <w:t>SEGUNDO.-</w:t>
      </w:r>
      <w:r w:rsidRPr="006D0BE9">
        <w:rPr>
          <w:rFonts w:ascii="Arial" w:eastAsia="Times New Roman" w:hAnsi="Arial" w:cs="Arial"/>
          <w:color w:val="2F2F2F"/>
          <w:sz w:val="18"/>
          <w:szCs w:val="18"/>
          <w:lang w:eastAsia="es-MX"/>
        </w:rPr>
        <w:t> Se deja sin efectos el numeral Primero del "Acuerdo por el que se da a conocer el domicilio y horarios de prestación de servicios de la Delegación de la Secretaría de Relaciones Exteriores en la demarcación territorial Miguel Hidalgo, en el Distrito Federal", publicado en el Diario Oficial de la Federación el 14 de agosto de 2013, exclusivamente en lo conducente al horario de atención de la antes denominada Delegación de la Secretaría de Relaciones Exteriores en la demarcación territorial Miguel Hidalgo en la Ciudad de México.</w:t>
      </w:r>
    </w:p>
    <w:p w:rsidR="006D0BE9" w:rsidRPr="006D0BE9" w:rsidRDefault="006D0BE9" w:rsidP="006D0BE9">
      <w:pPr>
        <w:shd w:val="clear" w:color="auto" w:fill="FFFFFF"/>
        <w:spacing w:after="20" w:line="240" w:lineRule="auto"/>
        <w:ind w:firstLine="288"/>
        <w:jc w:val="both"/>
        <w:rPr>
          <w:rFonts w:ascii="Arial" w:eastAsia="Times New Roman" w:hAnsi="Arial" w:cs="Arial"/>
          <w:color w:val="2F2F2F"/>
          <w:sz w:val="18"/>
          <w:szCs w:val="18"/>
          <w:lang w:eastAsia="es-MX"/>
        </w:rPr>
      </w:pPr>
      <w:r w:rsidRPr="006D0BE9">
        <w:rPr>
          <w:rFonts w:ascii="Arial" w:eastAsia="Times New Roman" w:hAnsi="Arial" w:cs="Arial"/>
          <w:color w:val="2F2F2F"/>
          <w:sz w:val="18"/>
          <w:szCs w:val="18"/>
          <w:lang w:eastAsia="es-MX"/>
        </w:rPr>
        <w:t>Dado en la Ciudad de México, a los 11 días del mes de noviembre de dos mil veintiuno.- El Titular de la</w:t>
      </w:r>
    </w:p>
    <w:p w:rsidR="006D0BE9" w:rsidRPr="006D0BE9" w:rsidRDefault="006D0BE9" w:rsidP="006D0BE9">
      <w:pPr>
        <w:shd w:val="clear" w:color="auto" w:fill="FFFFFF"/>
        <w:spacing w:after="20" w:line="240" w:lineRule="auto"/>
        <w:jc w:val="both"/>
        <w:rPr>
          <w:rFonts w:ascii="Arial" w:eastAsia="Times New Roman" w:hAnsi="Arial" w:cs="Arial"/>
          <w:color w:val="2F2F2F"/>
          <w:sz w:val="18"/>
          <w:szCs w:val="18"/>
          <w:lang w:eastAsia="es-MX"/>
        </w:rPr>
      </w:pPr>
      <w:r w:rsidRPr="006D0BE9">
        <w:rPr>
          <w:rFonts w:ascii="Arial" w:eastAsia="Times New Roman" w:hAnsi="Arial" w:cs="Arial"/>
          <w:color w:val="2F2F2F"/>
          <w:sz w:val="18"/>
          <w:szCs w:val="18"/>
          <w:lang w:eastAsia="es-MX"/>
        </w:rPr>
        <w:t>Unidad de Administración y Finanzas de la Secretaría de Relaciones Exteriores, </w:t>
      </w:r>
      <w:r w:rsidRPr="006D0BE9">
        <w:rPr>
          <w:rFonts w:ascii="Arial" w:eastAsia="Times New Roman" w:hAnsi="Arial" w:cs="Arial"/>
          <w:b/>
          <w:bCs/>
          <w:color w:val="2F2F2F"/>
          <w:sz w:val="18"/>
          <w:szCs w:val="18"/>
          <w:lang w:eastAsia="es-MX"/>
        </w:rPr>
        <w:t>José Antonio Domínguez Carballo</w:t>
      </w:r>
      <w:r w:rsidRPr="006D0BE9">
        <w:rPr>
          <w:rFonts w:ascii="Arial" w:eastAsia="Times New Roman" w:hAnsi="Arial" w:cs="Arial"/>
          <w:color w:val="2F2F2F"/>
          <w:sz w:val="18"/>
          <w:szCs w:val="18"/>
          <w:lang w:eastAsia="es-MX"/>
        </w:rPr>
        <w:t>.- Rúbrica.</w:t>
      </w:r>
    </w:p>
    <w:sectPr w:rsidR="006D0BE9" w:rsidRPr="006D0B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BE9"/>
    <w:rsid w:val="006D0BE9"/>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B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B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72444">
      <w:bodyDiv w:val="1"/>
      <w:marLeft w:val="0"/>
      <w:marRight w:val="0"/>
      <w:marTop w:val="0"/>
      <w:marBottom w:val="0"/>
      <w:divBdr>
        <w:top w:val="none" w:sz="0" w:space="0" w:color="auto"/>
        <w:left w:val="none" w:sz="0" w:space="0" w:color="auto"/>
        <w:bottom w:val="none" w:sz="0" w:space="0" w:color="auto"/>
        <w:right w:val="none" w:sz="0" w:space="0" w:color="auto"/>
      </w:divBdr>
    </w:div>
    <w:div w:id="1226063402">
      <w:bodyDiv w:val="1"/>
      <w:marLeft w:val="0"/>
      <w:marRight w:val="0"/>
      <w:marTop w:val="0"/>
      <w:marBottom w:val="0"/>
      <w:divBdr>
        <w:top w:val="none" w:sz="0" w:space="0" w:color="auto"/>
        <w:left w:val="none" w:sz="0" w:space="0" w:color="auto"/>
        <w:bottom w:val="none" w:sz="0" w:space="0" w:color="auto"/>
        <w:right w:val="none" w:sz="0" w:space="0" w:color="auto"/>
      </w:divBdr>
      <w:divsChild>
        <w:div w:id="244385187">
          <w:marLeft w:val="0"/>
          <w:marRight w:val="0"/>
          <w:marTop w:val="20"/>
          <w:marBottom w:val="20"/>
          <w:divBdr>
            <w:top w:val="none" w:sz="0" w:space="0" w:color="auto"/>
            <w:left w:val="none" w:sz="0" w:space="0" w:color="auto"/>
            <w:bottom w:val="none" w:sz="0" w:space="0" w:color="auto"/>
            <w:right w:val="none" w:sz="0" w:space="0" w:color="auto"/>
          </w:divBdr>
        </w:div>
        <w:div w:id="1108085959">
          <w:marLeft w:val="0"/>
          <w:marRight w:val="0"/>
          <w:marTop w:val="20"/>
          <w:marBottom w:val="20"/>
          <w:divBdr>
            <w:top w:val="none" w:sz="0" w:space="0" w:color="auto"/>
            <w:left w:val="none" w:sz="0" w:space="0" w:color="auto"/>
            <w:bottom w:val="none" w:sz="0" w:space="0" w:color="auto"/>
            <w:right w:val="none" w:sz="0" w:space="0" w:color="auto"/>
          </w:divBdr>
        </w:div>
        <w:div w:id="974915439">
          <w:marLeft w:val="0"/>
          <w:marRight w:val="0"/>
          <w:marTop w:val="20"/>
          <w:marBottom w:val="20"/>
          <w:divBdr>
            <w:top w:val="none" w:sz="0" w:space="0" w:color="auto"/>
            <w:left w:val="none" w:sz="0" w:space="0" w:color="auto"/>
            <w:bottom w:val="none" w:sz="0" w:space="0" w:color="auto"/>
            <w:right w:val="none" w:sz="0" w:space="0" w:color="auto"/>
          </w:divBdr>
        </w:div>
        <w:div w:id="931426367">
          <w:marLeft w:val="0"/>
          <w:marRight w:val="0"/>
          <w:marTop w:val="20"/>
          <w:marBottom w:val="20"/>
          <w:divBdr>
            <w:top w:val="none" w:sz="0" w:space="0" w:color="auto"/>
            <w:left w:val="none" w:sz="0" w:space="0" w:color="auto"/>
            <w:bottom w:val="none" w:sz="0" w:space="0" w:color="auto"/>
            <w:right w:val="none" w:sz="0" w:space="0" w:color="auto"/>
          </w:divBdr>
        </w:div>
        <w:div w:id="1206911159">
          <w:marLeft w:val="0"/>
          <w:marRight w:val="0"/>
          <w:marTop w:val="20"/>
          <w:marBottom w:val="20"/>
          <w:divBdr>
            <w:top w:val="none" w:sz="0" w:space="0" w:color="auto"/>
            <w:left w:val="none" w:sz="0" w:space="0" w:color="auto"/>
            <w:bottom w:val="none" w:sz="0" w:space="0" w:color="auto"/>
            <w:right w:val="none" w:sz="0" w:space="0" w:color="auto"/>
          </w:divBdr>
        </w:div>
        <w:div w:id="2038314277">
          <w:marLeft w:val="0"/>
          <w:marRight w:val="0"/>
          <w:marTop w:val="20"/>
          <w:marBottom w:val="20"/>
          <w:divBdr>
            <w:top w:val="none" w:sz="0" w:space="0" w:color="auto"/>
            <w:left w:val="none" w:sz="0" w:space="0" w:color="auto"/>
            <w:bottom w:val="none" w:sz="0" w:space="0" w:color="auto"/>
            <w:right w:val="none" w:sz="0" w:space="0" w:color="auto"/>
          </w:divBdr>
        </w:div>
        <w:div w:id="1373463261">
          <w:marLeft w:val="0"/>
          <w:marRight w:val="0"/>
          <w:marTop w:val="20"/>
          <w:marBottom w:val="20"/>
          <w:divBdr>
            <w:top w:val="none" w:sz="0" w:space="0" w:color="auto"/>
            <w:left w:val="none" w:sz="0" w:space="0" w:color="auto"/>
            <w:bottom w:val="none" w:sz="0" w:space="0" w:color="auto"/>
            <w:right w:val="none" w:sz="0" w:space="0" w:color="auto"/>
          </w:divBdr>
        </w:div>
        <w:div w:id="1865097326">
          <w:marLeft w:val="0"/>
          <w:marRight w:val="0"/>
          <w:marTop w:val="20"/>
          <w:marBottom w:val="20"/>
          <w:divBdr>
            <w:top w:val="none" w:sz="0" w:space="0" w:color="auto"/>
            <w:left w:val="none" w:sz="0" w:space="0" w:color="auto"/>
            <w:bottom w:val="none" w:sz="0" w:space="0" w:color="auto"/>
            <w:right w:val="none" w:sz="0" w:space="0" w:color="auto"/>
          </w:divBdr>
        </w:div>
        <w:div w:id="750930945">
          <w:marLeft w:val="0"/>
          <w:marRight w:val="0"/>
          <w:marTop w:val="20"/>
          <w:marBottom w:val="20"/>
          <w:divBdr>
            <w:top w:val="none" w:sz="0" w:space="0" w:color="auto"/>
            <w:left w:val="none" w:sz="0" w:space="0" w:color="auto"/>
            <w:bottom w:val="none" w:sz="0" w:space="0" w:color="auto"/>
            <w:right w:val="none" w:sz="0" w:space="0" w:color="auto"/>
          </w:divBdr>
        </w:div>
        <w:div w:id="1759867162">
          <w:marLeft w:val="0"/>
          <w:marRight w:val="0"/>
          <w:marTop w:val="20"/>
          <w:marBottom w:val="20"/>
          <w:divBdr>
            <w:top w:val="none" w:sz="0" w:space="0" w:color="auto"/>
            <w:left w:val="none" w:sz="0" w:space="0" w:color="auto"/>
            <w:bottom w:val="none" w:sz="0" w:space="0" w:color="auto"/>
            <w:right w:val="none" w:sz="0" w:space="0" w:color="auto"/>
          </w:divBdr>
        </w:div>
        <w:div w:id="499585805">
          <w:marLeft w:val="0"/>
          <w:marRight w:val="0"/>
          <w:marTop w:val="20"/>
          <w:marBottom w:val="20"/>
          <w:divBdr>
            <w:top w:val="none" w:sz="0" w:space="0" w:color="auto"/>
            <w:left w:val="none" w:sz="0" w:space="0" w:color="auto"/>
            <w:bottom w:val="none" w:sz="0" w:space="0" w:color="auto"/>
            <w:right w:val="none" w:sz="0" w:space="0" w:color="auto"/>
          </w:divBdr>
        </w:div>
        <w:div w:id="1555695469">
          <w:marLeft w:val="0"/>
          <w:marRight w:val="0"/>
          <w:marTop w:val="20"/>
          <w:marBottom w:val="20"/>
          <w:divBdr>
            <w:top w:val="none" w:sz="0" w:space="0" w:color="auto"/>
            <w:left w:val="none" w:sz="0" w:space="0" w:color="auto"/>
            <w:bottom w:val="none" w:sz="0" w:space="0" w:color="auto"/>
            <w:right w:val="none" w:sz="0" w:space="0" w:color="auto"/>
          </w:divBdr>
        </w:div>
        <w:div w:id="1745712598">
          <w:marLeft w:val="0"/>
          <w:marRight w:val="0"/>
          <w:marTop w:val="20"/>
          <w:marBottom w:val="20"/>
          <w:divBdr>
            <w:top w:val="none" w:sz="0" w:space="0" w:color="auto"/>
            <w:left w:val="none" w:sz="0" w:space="0" w:color="auto"/>
            <w:bottom w:val="none" w:sz="0" w:space="0" w:color="auto"/>
            <w:right w:val="none" w:sz="0" w:space="0" w:color="auto"/>
          </w:divBdr>
        </w:div>
        <w:div w:id="1002393700">
          <w:marLeft w:val="0"/>
          <w:marRight w:val="0"/>
          <w:marTop w:val="20"/>
          <w:marBottom w:val="20"/>
          <w:divBdr>
            <w:top w:val="none" w:sz="0" w:space="0" w:color="auto"/>
            <w:left w:val="none" w:sz="0" w:space="0" w:color="auto"/>
            <w:bottom w:val="none" w:sz="0" w:space="0" w:color="auto"/>
            <w:right w:val="none" w:sz="0" w:space="0" w:color="auto"/>
          </w:divBdr>
        </w:div>
        <w:div w:id="809058190">
          <w:marLeft w:val="0"/>
          <w:marRight w:val="0"/>
          <w:marTop w:val="20"/>
          <w:marBottom w:val="20"/>
          <w:divBdr>
            <w:top w:val="none" w:sz="0" w:space="0" w:color="auto"/>
            <w:left w:val="none" w:sz="0" w:space="0" w:color="auto"/>
            <w:bottom w:val="none" w:sz="0" w:space="0" w:color="auto"/>
            <w:right w:val="none" w:sz="0" w:space="0" w:color="auto"/>
          </w:divBdr>
        </w:div>
        <w:div w:id="1299534020">
          <w:marLeft w:val="0"/>
          <w:marRight w:val="0"/>
          <w:marTop w:val="20"/>
          <w:marBottom w:val="20"/>
          <w:divBdr>
            <w:top w:val="none" w:sz="0" w:space="0" w:color="auto"/>
            <w:left w:val="none" w:sz="0" w:space="0" w:color="auto"/>
            <w:bottom w:val="none" w:sz="0" w:space="0" w:color="auto"/>
            <w:right w:val="none" w:sz="0" w:space="0" w:color="auto"/>
          </w:divBdr>
        </w:div>
        <w:div w:id="2123958157">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4935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2021-11-17T14:31:00Z</dcterms:created>
  <dcterms:modified xsi:type="dcterms:W3CDTF">2021-11-17T14:32:00Z</dcterms:modified>
</cp:coreProperties>
</file>