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E5" w:rsidRDefault="00BF58E5" w:rsidP="00BF58E5">
      <w:pPr>
        <w:jc w:val="center"/>
        <w:rPr>
          <w:rFonts w:ascii="Verdana" w:eastAsia="Verdana" w:hAnsi="Verdana" w:cs="Verdana"/>
          <w:b/>
          <w:color w:val="0000FF"/>
          <w:sz w:val="24"/>
          <w:szCs w:val="24"/>
        </w:rPr>
      </w:pPr>
      <w:bookmarkStart w:id="0" w:name="_GoBack"/>
      <w:r w:rsidRPr="00BF58E5">
        <w:rPr>
          <w:rFonts w:ascii="Verdana" w:eastAsia="Verdana" w:hAnsi="Verdana" w:cs="Verdana"/>
          <w:b/>
          <w:color w:val="0000FF"/>
          <w:sz w:val="24"/>
          <w:szCs w:val="24"/>
        </w:rPr>
        <w:t>AVISO mediante el cual se da a conocer el monto del cupo máximo al mes de marzo de 2022, para exportar azúcar a los Estados Unidos de América durante el periodo comprendido entre el 1 de octubre de 2021 y el 30 de septiembre de 2022</w:t>
      </w:r>
      <w:bookmarkEnd w:id="0"/>
      <w:r w:rsidRPr="00BF58E5">
        <w:rPr>
          <w:rFonts w:ascii="Verdana" w:eastAsia="Verdana" w:hAnsi="Verdana" w:cs="Verdana"/>
          <w:b/>
          <w:color w:val="0000FF"/>
          <w:sz w:val="24"/>
          <w:szCs w:val="24"/>
        </w:rPr>
        <w:t>.</w:t>
      </w:r>
      <w:r>
        <w:rPr>
          <w:rFonts w:ascii="Verdana" w:eastAsia="Verdana" w:hAnsi="Verdana" w:cs="Verdana"/>
          <w:b/>
          <w:color w:val="0000FF"/>
          <w:sz w:val="24"/>
          <w:szCs w:val="24"/>
        </w:rPr>
        <w:br/>
        <w:t>(DOF del 12 de abril de 2022</w:t>
      </w:r>
      <w:r w:rsidRPr="00575D6A">
        <w:rPr>
          <w:rFonts w:ascii="Verdana" w:eastAsia="Verdana" w:hAnsi="Verdana" w:cs="Verdana"/>
          <w:b/>
          <w:color w:val="0000FF"/>
          <w:sz w:val="24"/>
          <w:szCs w:val="24"/>
        </w:rPr>
        <w:t>)</w:t>
      </w:r>
    </w:p>
    <w:p w:rsidR="00976270" w:rsidRDefault="00BF58E5" w:rsidP="00BF58E5">
      <w:pPr>
        <w:jc w:val="both"/>
        <w:rPr>
          <w:rFonts w:ascii="Arial" w:hAnsi="Arial" w:cs="Arial"/>
          <w:b/>
          <w:color w:val="262626" w:themeColor="text1" w:themeTint="D9"/>
          <w:sz w:val="18"/>
        </w:rPr>
      </w:pPr>
      <w:r w:rsidRPr="00BF58E5">
        <w:rPr>
          <w:rFonts w:ascii="Arial" w:hAnsi="Arial" w:cs="Arial"/>
          <w:b/>
          <w:color w:val="262626" w:themeColor="text1" w:themeTint="D9"/>
          <w:sz w:val="18"/>
        </w:rPr>
        <w:t>Al margen un sello con el Escudo Nacional, que dice: Estados Unidos Mexicanos.- ECONOMÍA.- Secretaría de Economía.</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AVISO MEDIANTE EL CUAL SE DA A CONOCER EL MONTO DEL CUPO MÁXIMO AL MES DE MARZO DE 2022, PARA EXPORTAR AZÚCAR A LOS ESTADOS UNIDOS DE AMÉRICA DURANTE EL PERIODO COMPRENDIDO ENTRE EL 1 DE OCTUBRE DE 2021 Y EL 30 DE SEPTIEMBRE DE 2022.</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12 de agosto de 2021 se publicó en el DOF el Aviso mediante el cual se da a conocer el monto del cupo máximo, para exportar azúcar a los Estados Unidos de América durante el periodo comprendido entre el 1 de octubre de 2021 y el 30 de septiembre de 2022; monto que se actualizó en los meses de septiembre y diciembre de 2021, y se dio a conocer mediante diversos publicados el 20 de octubre del mismo año y el 11 de febrero de 2022.</w:t>
      </w:r>
    </w:p>
    <w:p w:rsidR="00BF58E5" w:rsidRPr="00BF58E5" w:rsidRDefault="00BF58E5" w:rsidP="00BF58E5">
      <w:pPr>
        <w:spacing w:after="80"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23 de noviembre de 2021, el Gobierno de los Estados Unidos de América, a través de su Departamento de Comercio, dio a conocer la necesidad de un incremento del volumen de azúcar mexicana de polarización menor a 99.2 grados, por lo que el 17 de diciembre de 2021 se publicó en el DOF el Aviso mediante el cual se da a conocer el monto extraordinario del cupo para exportar azúcar a los Estados Unidos de América, en el periodo comprendido entre el 1 de octubre de 2021 y el 31 de marzo de 2022, por 150,000 toneladas cortas valor crudo de azúcar (TCVC).</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En ese sentido, y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BF58E5" w:rsidRPr="00BF58E5" w:rsidRDefault="00BF58E5" w:rsidP="00BF58E5">
      <w:pPr>
        <w:spacing w:after="101" w:line="240" w:lineRule="auto"/>
        <w:jc w:val="center"/>
        <w:rPr>
          <w:rFonts w:ascii="Arial" w:eastAsia="Times New Roman" w:hAnsi="Arial" w:cs="Arial"/>
          <w:b/>
          <w:sz w:val="18"/>
          <w:szCs w:val="18"/>
          <w:lang w:eastAsia="es-MX"/>
        </w:rPr>
      </w:pPr>
      <w:r w:rsidRPr="00BF58E5">
        <w:rPr>
          <w:rFonts w:ascii="Arial" w:eastAsia="Times New Roman" w:hAnsi="Arial" w:cs="Arial"/>
          <w:b/>
          <w:sz w:val="18"/>
          <w:szCs w:val="18"/>
          <w:lang w:eastAsia="es-MX"/>
        </w:rPr>
        <w:t>AVISO</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b/>
          <w:bCs/>
          <w:sz w:val="18"/>
          <w:szCs w:val="18"/>
          <w:lang w:eastAsia="es-MX"/>
        </w:rPr>
        <w:t>1.-</w:t>
      </w:r>
      <w:r w:rsidRPr="00BF58E5">
        <w:rPr>
          <w:rFonts w:ascii="Arial" w:eastAsia="Times New Roman" w:hAnsi="Arial" w:cs="Arial"/>
          <w:sz w:val="18"/>
          <w:szCs w:val="18"/>
          <w:lang w:eastAsia="es-MX"/>
        </w:rPr>
        <w:t xml:space="preserve"> En cumplimiento a lo establecido en el Punto 13 del Acuerdo por el que se sujeta a permiso previo la exportación de azúcar y se establece un cupo máximo para su exportación (Acuerdo), se da a conocer el monto del cupo total al mes de marzo de 2022, para exportar a los Estados Unidos de América (EUA) azúcar originaria de los Estados Unidos Mexicanos, que derive de la caña de azúcar o de remolacha, durante el periodo comprendido entre el 1 de octubre de 2021 y el 30 de septiembre de 2022: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4"/>
        <w:gridCol w:w="4568"/>
      </w:tblGrid>
      <w:tr w:rsidR="00BF58E5" w:rsidRPr="00BF58E5" w:rsidTr="00BF58E5">
        <w:trPr>
          <w:trHeight w:val="37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Monto</w:t>
            </w:r>
          </w:p>
        </w:tc>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Unidad de medida</w:t>
            </w:r>
          </w:p>
        </w:tc>
      </w:tr>
      <w:tr w:rsidR="00BF58E5" w:rsidRPr="00BF58E5" w:rsidTr="00BF58E5">
        <w:trPr>
          <w:trHeight w:val="37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941,113.501</w:t>
            </w:r>
          </w:p>
        </w:tc>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Toneladas métricas valor crudo</w:t>
            </w:r>
          </w:p>
        </w:tc>
      </w:tr>
    </w:tbl>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b/>
          <w:bCs/>
          <w:sz w:val="18"/>
          <w:szCs w:val="18"/>
          <w:lang w:eastAsia="es-MX"/>
        </w:rPr>
        <w:t xml:space="preserve">2.- </w:t>
      </w:r>
      <w:r w:rsidRPr="00BF58E5">
        <w:rPr>
          <w:rFonts w:ascii="Arial" w:eastAsia="Times New Roman" w:hAnsi="Arial" w:cs="Arial"/>
          <w:sz w:val="18"/>
          <w:szCs w:val="18"/>
          <w:lang w:eastAsia="es-MX"/>
        </w:rPr>
        <w:t>Considerando lo establecido en el Punto 13 del Acuerdo, el monto se determinó conforme a lo siguiente:</w:t>
      </w:r>
    </w:p>
    <w:p w:rsidR="00BF58E5" w:rsidRPr="00BF58E5" w:rsidRDefault="00BF58E5" w:rsidP="00BF58E5">
      <w:pPr>
        <w:spacing w:after="101" w:line="240" w:lineRule="auto"/>
        <w:ind w:firstLine="288"/>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CT</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 xml:space="preserve">3 = </w:t>
      </w:r>
      <w:proofErr w:type="spellStart"/>
      <w:r w:rsidRPr="00BF58E5">
        <w:rPr>
          <w:rFonts w:ascii="Arial" w:eastAsia="Times New Roman" w:hAnsi="Arial" w:cs="Arial"/>
          <w:i/>
          <w:iCs/>
          <w:sz w:val="18"/>
          <w:szCs w:val="18"/>
          <w:lang w:eastAsia="es-MX"/>
        </w:rPr>
        <w:t>mín</w:t>
      </w:r>
      <w:proofErr w:type="spellEnd"/>
      <w:r w:rsidRPr="00BF58E5">
        <w:rPr>
          <w:rFonts w:ascii="Arial" w:eastAsia="Times New Roman" w:hAnsi="Arial" w:cs="Arial"/>
          <w:sz w:val="18"/>
          <w:szCs w:val="18"/>
          <w:lang w:eastAsia="es-MX"/>
        </w:rPr>
        <w:t xml:space="preserve"> [(X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*Z), Y</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proofErr w:type="spellStart"/>
      <w:r w:rsidRPr="00BF58E5">
        <w:rPr>
          <w:rFonts w:ascii="Arial" w:eastAsia="Times New Roman" w:hAnsi="Arial" w:cs="Arial"/>
          <w:sz w:val="18"/>
          <w:szCs w:val="18"/>
          <w:lang w:eastAsia="es-MX"/>
        </w:rPr>
        <w:t>Donde</w:t>
      </w:r>
      <w:proofErr w:type="spellEnd"/>
      <w:r w:rsidRPr="00BF58E5">
        <w:rPr>
          <w:rFonts w:ascii="Arial" w:eastAsia="Times New Roman" w:hAnsi="Arial" w:cs="Arial"/>
          <w:sz w:val="18"/>
          <w:szCs w:val="18"/>
          <w:lang w:eastAsia="es-MX"/>
        </w:rPr>
        <w:t>:</w:t>
      </w:r>
    </w:p>
    <w:p w:rsidR="00BF58E5" w:rsidRPr="00BF58E5" w:rsidRDefault="00BF58E5" w:rsidP="00BF58E5">
      <w:pPr>
        <w:pStyle w:val="Prrafodelista"/>
        <w:numPr>
          <w:ilvl w:val="0"/>
          <w:numId w:val="3"/>
        </w:numPr>
        <w:spacing w:after="101" w:line="240" w:lineRule="auto"/>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CT</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Cupo total calculado en marzo de 2022.</w:t>
      </w:r>
    </w:p>
    <w:p w:rsidR="00BF58E5" w:rsidRPr="00BF58E5" w:rsidRDefault="00BF58E5" w:rsidP="00BF58E5">
      <w:pPr>
        <w:spacing w:after="101" w:line="240" w:lineRule="auto"/>
        <w:ind w:hanging="387"/>
        <w:jc w:val="both"/>
        <w:rPr>
          <w:rFonts w:ascii="Arial" w:eastAsia="Times New Roman" w:hAnsi="Arial" w:cs="Arial"/>
          <w:sz w:val="18"/>
          <w:szCs w:val="18"/>
          <w:lang w:eastAsia="es-MX"/>
        </w:rPr>
      </w:pPr>
    </w:p>
    <w:p w:rsidR="00BF58E5" w:rsidRPr="00BF58E5" w:rsidRDefault="00BF58E5" w:rsidP="00BF58E5">
      <w:pPr>
        <w:pStyle w:val="Prrafodelista"/>
        <w:numPr>
          <w:ilvl w:val="0"/>
          <w:numId w:val="3"/>
        </w:numPr>
        <w:spacing w:after="101" w:line="240" w:lineRule="auto"/>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lastRenderedPageBreak/>
        <w:t>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w:t>
      </w:r>
      <w:r w:rsidRPr="00BF58E5">
        <w:rPr>
          <w:rFonts w:ascii="Arial" w:eastAsia="Times New Roman" w:hAnsi="Arial" w:cs="Arial"/>
          <w:sz w:val="18"/>
          <w:szCs w:val="18"/>
          <w:vertAlign w:val="subscript"/>
          <w:lang w:eastAsia="es-MX"/>
        </w:rPr>
        <w:t xml:space="preserve"> </w:t>
      </w:r>
      <w:r w:rsidRPr="00BF58E5">
        <w:rPr>
          <w:rFonts w:ascii="Arial" w:eastAsia="Times New Roman" w:hAnsi="Arial" w:cs="Arial"/>
          <w:sz w:val="18"/>
          <w:szCs w:val="18"/>
          <w:lang w:eastAsia="es-MX"/>
        </w:rPr>
        <w:t>= Necesidades totales de EUA, con base en la publicación del Informe de marzo de 2022 sobre las estimaciones de la oferta y la demanda agropecuaria mundiales (WASDE por sus siglas en inglés), el cual puede ser consultado a través del URL: https://www.usda.gov/oce/commodity/wasde/wasde0322.pdf</w:t>
      </w:r>
    </w:p>
    <w:p w:rsidR="00BF58E5" w:rsidRPr="00BF58E5" w:rsidRDefault="00BF58E5" w:rsidP="00BF58E5">
      <w:pPr>
        <w:spacing w:after="101" w:line="240" w:lineRule="auto"/>
        <w:ind w:hanging="432"/>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Que se calcula de la siguiente manera:</w:t>
      </w:r>
    </w:p>
    <w:p w:rsidR="00BF58E5" w:rsidRPr="00BF58E5" w:rsidRDefault="00BF58E5" w:rsidP="00BF58E5">
      <w:pPr>
        <w:spacing w:after="101" w:line="240" w:lineRule="auto"/>
        <w:ind w:hanging="432"/>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xml:space="preserve">       (Uso total * 1.135) - inventarios iniciales - producción de azúcar de caña y remolacha - importaciones bajo arancel-cupo - importaciones bajo otros programas de importación - (otras importaciones según precise el WASDE en la nota 5 de la tabla denominada </w:t>
      </w:r>
      <w:r w:rsidRPr="00BF58E5">
        <w:rPr>
          <w:rFonts w:ascii="Arial" w:eastAsia="Times New Roman" w:hAnsi="Arial" w:cs="Arial"/>
          <w:i/>
          <w:iCs/>
          <w:sz w:val="18"/>
          <w:szCs w:val="18"/>
          <w:lang w:eastAsia="es-MX"/>
        </w:rPr>
        <w:t xml:space="preserve">U.S. </w:t>
      </w:r>
      <w:proofErr w:type="spellStart"/>
      <w:r w:rsidRPr="00BF58E5">
        <w:rPr>
          <w:rFonts w:ascii="Arial" w:eastAsia="Times New Roman" w:hAnsi="Arial" w:cs="Arial"/>
          <w:i/>
          <w:iCs/>
          <w:sz w:val="18"/>
          <w:szCs w:val="18"/>
          <w:lang w:eastAsia="es-MX"/>
        </w:rPr>
        <w:t>Sugar</w:t>
      </w:r>
      <w:proofErr w:type="spellEnd"/>
      <w:r w:rsidRPr="00BF58E5">
        <w:rPr>
          <w:rFonts w:ascii="Arial" w:eastAsia="Times New Roman" w:hAnsi="Arial" w:cs="Arial"/>
          <w:i/>
          <w:iCs/>
          <w:sz w:val="18"/>
          <w:szCs w:val="18"/>
          <w:lang w:eastAsia="es-MX"/>
        </w:rPr>
        <w:t xml:space="preserve"> </w:t>
      </w:r>
      <w:proofErr w:type="spellStart"/>
      <w:r w:rsidRPr="00BF58E5">
        <w:rPr>
          <w:rFonts w:ascii="Arial" w:eastAsia="Times New Roman" w:hAnsi="Arial" w:cs="Arial"/>
          <w:i/>
          <w:iCs/>
          <w:sz w:val="18"/>
          <w:szCs w:val="18"/>
          <w:lang w:eastAsia="es-MX"/>
        </w:rPr>
        <w:t>Supply</w:t>
      </w:r>
      <w:proofErr w:type="spellEnd"/>
      <w:r w:rsidRPr="00BF58E5">
        <w:rPr>
          <w:rFonts w:ascii="Arial" w:eastAsia="Times New Roman" w:hAnsi="Arial" w:cs="Arial"/>
          <w:i/>
          <w:iCs/>
          <w:sz w:val="18"/>
          <w:szCs w:val="18"/>
          <w:lang w:eastAsia="es-MX"/>
        </w:rPr>
        <w:t xml:space="preserve"> and Use</w:t>
      </w:r>
      <w:r w:rsidRPr="00BF58E5">
        <w:rPr>
          <w:rFonts w:ascii="Arial" w:eastAsia="Times New Roman" w:hAnsi="Arial" w:cs="Arial"/>
          <w:sz w:val="18"/>
          <w:szCs w:val="18"/>
          <w:lang w:eastAsia="es-MX"/>
        </w:rPr>
        <w:t xml:space="preserve"> (Oferta y Uso de Azúcar en Estados Unidos) para otras de alto nivel + otras).</w:t>
      </w:r>
    </w:p>
    <w:p w:rsidR="00BF58E5" w:rsidRPr="00BF58E5" w:rsidRDefault="00BF58E5" w:rsidP="00BF58E5">
      <w:pPr>
        <w:spacing w:after="101" w:line="240" w:lineRule="auto"/>
        <w:ind w:hanging="432"/>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3631"/>
        <w:gridCol w:w="3312"/>
      </w:tblGrid>
      <w:tr w:rsidR="00BF58E5" w:rsidRPr="00BF58E5" w:rsidTr="00BF58E5">
        <w:trPr>
          <w:trHeight w:val="725"/>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Variable</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Monto</w:t>
            </w:r>
          </w:p>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(Toneladas cortas valor crudo)</w:t>
            </w:r>
          </w:p>
        </w:tc>
      </w:tr>
      <w:tr w:rsidR="00BF58E5" w:rsidRPr="00BF58E5" w:rsidTr="00BF58E5">
        <w:trPr>
          <w:trHeight w:val="355"/>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Uso total</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12,440,000.00</w:t>
            </w:r>
          </w:p>
        </w:tc>
      </w:tr>
      <w:tr w:rsidR="00BF58E5" w:rsidRPr="00BF58E5" w:rsidTr="00BF58E5">
        <w:trPr>
          <w:trHeight w:val="355"/>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Inventarios iniciales</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1,705,000.00</w:t>
            </w:r>
          </w:p>
        </w:tc>
      </w:tr>
      <w:tr w:rsidR="00BF58E5" w:rsidRPr="00BF58E5" w:rsidTr="00BF58E5">
        <w:trPr>
          <w:trHeight w:val="355"/>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Producción de azúcar de caña y remolacha</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9,384,000.00</w:t>
            </w:r>
          </w:p>
        </w:tc>
      </w:tr>
      <w:tr w:rsidR="00BF58E5" w:rsidRPr="00BF58E5" w:rsidTr="00BF58E5">
        <w:trPr>
          <w:trHeight w:val="355"/>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Importaciones bajo arancel-cupo</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1,568,000.00</w:t>
            </w:r>
          </w:p>
        </w:tc>
      </w:tr>
      <w:tr w:rsidR="00BF58E5" w:rsidRPr="00BF58E5" w:rsidTr="00BF58E5">
        <w:trPr>
          <w:trHeight w:val="609"/>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Importaciones bajo otros programas de importación</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250,000.00</w:t>
            </w:r>
          </w:p>
        </w:tc>
      </w:tr>
      <w:tr w:rsidR="00BF58E5" w:rsidRPr="00BF58E5" w:rsidTr="00BF58E5">
        <w:trPr>
          <w:trHeight w:val="624"/>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Nota 5 de otras importaciones (otras de alto nivel y otras)</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175,000.00</w:t>
            </w:r>
          </w:p>
        </w:tc>
      </w:tr>
    </w:tbl>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resultado del cálculo es:</w:t>
      </w:r>
    </w:p>
    <w:p w:rsidR="00BF58E5" w:rsidRPr="00BF58E5" w:rsidRDefault="00BF58E5" w:rsidP="00BF58E5">
      <w:pPr>
        <w:spacing w:after="101" w:line="240" w:lineRule="auto"/>
        <w:ind w:firstLine="288"/>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1</w:t>
      </w:r>
      <w:proofErr w:type="gramStart"/>
      <w:r w:rsidRPr="00BF58E5">
        <w:rPr>
          <w:rFonts w:ascii="Arial" w:eastAsia="Times New Roman" w:hAnsi="Arial" w:cs="Arial"/>
          <w:sz w:val="18"/>
          <w:szCs w:val="18"/>
          <w:lang w:eastAsia="es-MX"/>
        </w:rPr>
        <w:t>,037,400.000</w:t>
      </w:r>
      <w:proofErr w:type="gramEnd"/>
      <w:r w:rsidRPr="00BF58E5">
        <w:rPr>
          <w:rFonts w:ascii="Arial" w:eastAsia="Times New Roman" w:hAnsi="Arial" w:cs="Arial"/>
          <w:sz w:val="18"/>
          <w:szCs w:val="18"/>
          <w:lang w:eastAsia="es-MX"/>
        </w:rPr>
        <w:t xml:space="preserve"> toneladas cortas valor crudo.</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resultado se convierte a toneladas métricas valor crudo dividiendo entre el factor: 1.10231125.</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Lo anterior da como resultado:</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941,113.501 toneladas métricas valor crudo (TMVC).</w:t>
      </w:r>
    </w:p>
    <w:p w:rsidR="00BF58E5" w:rsidRPr="00BF58E5" w:rsidRDefault="00BF58E5" w:rsidP="00BF58E5">
      <w:pPr>
        <w:spacing w:after="101" w:line="240" w:lineRule="auto"/>
        <w:ind w:hanging="432"/>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Z= 1 en el mes de marzo.</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Z= 941,113.501 * 1</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X</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Z= 941,113.501 TMVC.</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Yt+3 = Excedente de oferta con la información del balance azucarero estimado vigente al mes de abril de 2022, calculado por el Comité Nacional para el Desarrollo Sustentable de la Caña de Azúcar (CONADESUCA) de la siguiente manera:</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diferencial entre la oferta total de azúcar, menos el consumo nacional total, menos el inventario final estimado. 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3292"/>
        <w:gridCol w:w="2804"/>
      </w:tblGrid>
      <w:tr w:rsidR="00BF58E5" w:rsidRPr="00BF58E5" w:rsidTr="00BF58E5">
        <w:trPr>
          <w:trHeight w:val="807"/>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Variable</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Monto</w:t>
            </w:r>
          </w:p>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b/>
                <w:bCs/>
                <w:color w:val="000000"/>
                <w:sz w:val="18"/>
                <w:szCs w:val="18"/>
                <w:lang w:eastAsia="es-MX"/>
              </w:rPr>
              <w:t>(Toneladas métricas)</w:t>
            </w:r>
          </w:p>
        </w:tc>
      </w:tr>
      <w:tr w:rsidR="00BF58E5" w:rsidRPr="00BF58E5" w:rsidTr="00BF58E5">
        <w:trPr>
          <w:trHeight w:val="396"/>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Oferta total de azúcar</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7,189,576</w:t>
            </w:r>
          </w:p>
        </w:tc>
      </w:tr>
      <w:tr w:rsidR="00BF58E5" w:rsidRPr="00BF58E5" w:rsidTr="00BF58E5">
        <w:trPr>
          <w:trHeight w:val="396"/>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Consumo nacional total</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4,363,570</w:t>
            </w:r>
          </w:p>
        </w:tc>
      </w:tr>
      <w:tr w:rsidR="00BF58E5" w:rsidRPr="00BF58E5" w:rsidTr="00BF58E5">
        <w:trPr>
          <w:trHeight w:val="411"/>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Inventario final estimado</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E5" w:rsidRPr="00BF58E5" w:rsidRDefault="00BF58E5" w:rsidP="00BF58E5">
            <w:pPr>
              <w:spacing w:after="101" w:line="240" w:lineRule="auto"/>
              <w:jc w:val="both"/>
              <w:rPr>
                <w:rFonts w:ascii="Arial" w:eastAsia="Times New Roman" w:hAnsi="Arial" w:cs="Arial"/>
                <w:color w:val="000000"/>
                <w:sz w:val="18"/>
                <w:szCs w:val="18"/>
                <w:lang w:eastAsia="es-MX"/>
              </w:rPr>
            </w:pPr>
            <w:r w:rsidRPr="00BF58E5">
              <w:rPr>
                <w:rFonts w:ascii="Arial" w:eastAsia="Times New Roman" w:hAnsi="Arial" w:cs="Arial"/>
                <w:color w:val="000000"/>
                <w:sz w:val="18"/>
                <w:szCs w:val="18"/>
                <w:lang w:eastAsia="es-MX"/>
              </w:rPr>
              <w:t>904,910</w:t>
            </w:r>
          </w:p>
        </w:tc>
      </w:tr>
    </w:tbl>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resultado del cálculo es:</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lastRenderedPageBreak/>
        <w:t>Y</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1</w:t>
      </w:r>
      <w:proofErr w:type="gramStart"/>
      <w:r w:rsidRPr="00BF58E5">
        <w:rPr>
          <w:rFonts w:ascii="Arial" w:eastAsia="Times New Roman" w:hAnsi="Arial" w:cs="Arial"/>
          <w:sz w:val="18"/>
          <w:szCs w:val="18"/>
          <w:lang w:eastAsia="es-MX"/>
        </w:rPr>
        <w:t>,921,096.000</w:t>
      </w:r>
      <w:proofErr w:type="gramEnd"/>
      <w:r w:rsidRPr="00BF58E5">
        <w:rPr>
          <w:rFonts w:ascii="Arial" w:eastAsia="Times New Roman" w:hAnsi="Arial" w:cs="Arial"/>
          <w:sz w:val="18"/>
          <w:szCs w:val="18"/>
          <w:lang w:eastAsia="es-MX"/>
        </w:rPr>
        <w:t xml:space="preserve"> toneladas métricas.</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El resultado se convierte a valor crudo multiplicando por el factor: 1.06.</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Lo anterior da como resultado:</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Y</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 2</w:t>
      </w:r>
      <w:proofErr w:type="gramStart"/>
      <w:r w:rsidRPr="00BF58E5">
        <w:rPr>
          <w:rFonts w:ascii="Arial" w:eastAsia="Times New Roman" w:hAnsi="Arial" w:cs="Arial"/>
          <w:sz w:val="18"/>
          <w:szCs w:val="18"/>
          <w:lang w:eastAsia="es-MX"/>
        </w:rPr>
        <w:t>,036,361.760</w:t>
      </w:r>
      <w:proofErr w:type="gramEnd"/>
      <w:r w:rsidRPr="00BF58E5">
        <w:rPr>
          <w:rFonts w:ascii="Arial" w:eastAsia="Times New Roman" w:hAnsi="Arial" w:cs="Arial"/>
          <w:sz w:val="18"/>
          <w:szCs w:val="18"/>
          <w:lang w:eastAsia="es-MX"/>
        </w:rPr>
        <w:t xml:space="preserve"> TMVC.</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sz w:val="18"/>
          <w:szCs w:val="18"/>
          <w:lang w:eastAsia="es-MX"/>
        </w:rPr>
        <w:t xml:space="preserve">El resultado del cálculo CT </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 xml:space="preserve">3 = </w:t>
      </w:r>
      <w:proofErr w:type="spellStart"/>
      <w:r w:rsidRPr="00BF58E5">
        <w:rPr>
          <w:rFonts w:ascii="Arial" w:eastAsia="Times New Roman" w:hAnsi="Arial" w:cs="Arial"/>
          <w:sz w:val="18"/>
          <w:szCs w:val="18"/>
          <w:lang w:eastAsia="es-MX"/>
        </w:rPr>
        <w:t>mín</w:t>
      </w:r>
      <w:proofErr w:type="spellEnd"/>
      <w:r w:rsidRPr="00BF58E5">
        <w:rPr>
          <w:rFonts w:ascii="Arial" w:eastAsia="Times New Roman" w:hAnsi="Arial" w:cs="Arial"/>
          <w:sz w:val="18"/>
          <w:szCs w:val="18"/>
          <w:lang w:eastAsia="es-MX"/>
        </w:rPr>
        <w:t xml:space="preserve"> [(X </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 xml:space="preserve">3*Z), Y </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 es:</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sz w:val="18"/>
          <w:szCs w:val="18"/>
          <w:lang w:eastAsia="es-MX"/>
        </w:rPr>
        <w:t xml:space="preserve">CT </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 xml:space="preserve">3 = </w:t>
      </w:r>
      <w:proofErr w:type="spellStart"/>
      <w:r w:rsidRPr="00BF58E5">
        <w:rPr>
          <w:rFonts w:ascii="Arial" w:eastAsia="Times New Roman" w:hAnsi="Arial" w:cs="Arial"/>
          <w:sz w:val="18"/>
          <w:szCs w:val="18"/>
          <w:lang w:eastAsia="es-MX"/>
        </w:rPr>
        <w:t>mín</w:t>
      </w:r>
      <w:proofErr w:type="spellEnd"/>
      <w:r w:rsidRPr="00BF58E5">
        <w:rPr>
          <w:rFonts w:ascii="Arial" w:eastAsia="Times New Roman" w:hAnsi="Arial" w:cs="Arial"/>
          <w:sz w:val="18"/>
          <w:szCs w:val="18"/>
          <w:lang w:eastAsia="es-MX"/>
        </w:rPr>
        <w:t xml:space="preserve"> [(941,113.501), 2</w:t>
      </w:r>
      <w:proofErr w:type="gramStart"/>
      <w:r w:rsidRPr="00BF58E5">
        <w:rPr>
          <w:rFonts w:ascii="Arial" w:eastAsia="Times New Roman" w:hAnsi="Arial" w:cs="Arial"/>
          <w:sz w:val="18"/>
          <w:szCs w:val="18"/>
          <w:lang w:eastAsia="es-MX"/>
        </w:rPr>
        <w:t>,036,361.760</w:t>
      </w:r>
      <w:proofErr w:type="gramEnd"/>
      <w:r w:rsidRPr="00BF58E5">
        <w:rPr>
          <w:rFonts w:ascii="Arial" w:eastAsia="Times New Roman" w:hAnsi="Arial" w:cs="Arial"/>
          <w:sz w:val="18"/>
          <w:szCs w:val="18"/>
          <w:lang w:eastAsia="es-MX"/>
        </w:rPr>
        <w:t>]</w:t>
      </w:r>
    </w:p>
    <w:p w:rsidR="00BF58E5" w:rsidRPr="00BF58E5" w:rsidRDefault="00BF58E5" w:rsidP="00BF58E5">
      <w:pPr>
        <w:spacing w:after="101" w:line="240" w:lineRule="auto"/>
        <w:jc w:val="center"/>
        <w:rPr>
          <w:rFonts w:ascii="Arial" w:eastAsia="Times New Roman" w:hAnsi="Arial" w:cs="Arial"/>
          <w:sz w:val="18"/>
          <w:szCs w:val="18"/>
          <w:lang w:eastAsia="es-MX"/>
        </w:rPr>
      </w:pPr>
      <w:r w:rsidRPr="00BF58E5">
        <w:rPr>
          <w:rFonts w:ascii="Arial" w:eastAsia="Times New Roman" w:hAnsi="Arial" w:cs="Arial"/>
          <w:b/>
          <w:bCs/>
          <w:color w:val="000000"/>
          <w:sz w:val="18"/>
          <w:szCs w:val="18"/>
          <w:lang w:eastAsia="es-MX"/>
        </w:rPr>
        <w:t>CT</w:t>
      </w:r>
      <w:r w:rsidRPr="00BF58E5">
        <w:rPr>
          <w:rFonts w:ascii="Arial" w:eastAsia="Times New Roman" w:hAnsi="Arial" w:cs="Arial"/>
          <w:sz w:val="18"/>
          <w:szCs w:val="18"/>
          <w:vertAlign w:val="subscript"/>
          <w:lang w:eastAsia="es-MX"/>
        </w:rPr>
        <w:t>t+</w:t>
      </w:r>
      <w:r w:rsidRPr="00BF58E5">
        <w:rPr>
          <w:rFonts w:ascii="Arial" w:eastAsia="Times New Roman" w:hAnsi="Arial" w:cs="Arial"/>
          <w:sz w:val="18"/>
          <w:szCs w:val="18"/>
          <w:lang w:eastAsia="es-MX"/>
        </w:rPr>
        <w:t>3</w:t>
      </w:r>
      <w:r w:rsidRPr="00BF58E5">
        <w:rPr>
          <w:rFonts w:ascii="Arial" w:eastAsia="Times New Roman" w:hAnsi="Arial" w:cs="Arial"/>
          <w:b/>
          <w:bCs/>
          <w:color w:val="000000"/>
          <w:sz w:val="18"/>
          <w:szCs w:val="18"/>
          <w:lang w:eastAsia="es-MX"/>
        </w:rPr>
        <w:t xml:space="preserve"> = 941,113.501 TMVC.</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b/>
          <w:bCs/>
          <w:color w:val="000000"/>
          <w:sz w:val="18"/>
          <w:szCs w:val="18"/>
          <w:lang w:eastAsia="es-MX"/>
        </w:rPr>
        <w:t xml:space="preserve">3.- </w:t>
      </w:r>
      <w:r w:rsidRPr="00BF58E5">
        <w:rPr>
          <w:rFonts w:ascii="Arial" w:eastAsia="Times New Roman" w:hAnsi="Arial" w:cs="Arial"/>
          <w:color w:val="000000"/>
          <w:sz w:val="18"/>
          <w:szCs w:val="18"/>
          <w:lang w:eastAsia="es-MX"/>
        </w:rPr>
        <w:t>De conformidad con el Punto 13, del Acuerdo, el cupo de exportación al mes de marzo de 2022 es de 941,113.501 TMVC.</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color w:val="000000"/>
          <w:sz w:val="18"/>
          <w:szCs w:val="18"/>
          <w:lang w:eastAsia="es-MX"/>
        </w:rPr>
        <w:t>El cupo de exportación incluye el volumen adicional otorgado el pasado 23 de noviembre de 2021 por el Gobierno Estados Unidos de América, a través de su Departamento de Comercio, equivalente a 150 mil toneladas cortas valor crudo (136,077.719 toneladas métricas valor crudo) de azúcar con Polarización menor a 99.2 para ser exportado antes del 31 de marzo de 2022.</w:t>
      </w:r>
    </w:p>
    <w:p w:rsidR="00BF58E5" w:rsidRPr="00BF58E5" w:rsidRDefault="00BF58E5" w:rsidP="00BF58E5">
      <w:pPr>
        <w:spacing w:after="101" w:line="240" w:lineRule="auto"/>
        <w:ind w:firstLine="288"/>
        <w:jc w:val="both"/>
        <w:rPr>
          <w:rFonts w:ascii="Arial" w:eastAsia="Times New Roman" w:hAnsi="Arial" w:cs="Arial"/>
          <w:sz w:val="18"/>
          <w:szCs w:val="18"/>
          <w:lang w:eastAsia="es-MX"/>
        </w:rPr>
      </w:pPr>
      <w:r w:rsidRPr="00BF58E5">
        <w:rPr>
          <w:rFonts w:ascii="Arial" w:eastAsia="Times New Roman" w:hAnsi="Arial" w:cs="Arial"/>
          <w:color w:val="000000"/>
          <w:sz w:val="18"/>
          <w:szCs w:val="18"/>
          <w:lang w:eastAsia="es-MX"/>
        </w:rPr>
        <w:t xml:space="preserve">Ciudad de México, a 7 de abril de 2022.- Director General de Industrias Ligeras, </w:t>
      </w:r>
      <w:r w:rsidRPr="00BF58E5">
        <w:rPr>
          <w:rFonts w:ascii="Arial" w:eastAsia="Times New Roman" w:hAnsi="Arial" w:cs="Arial"/>
          <w:b/>
          <w:bCs/>
          <w:color w:val="000000"/>
          <w:sz w:val="18"/>
          <w:szCs w:val="18"/>
          <w:lang w:eastAsia="es-MX"/>
        </w:rPr>
        <w:t xml:space="preserve">Antonio </w:t>
      </w:r>
      <w:proofErr w:type="spellStart"/>
      <w:r w:rsidRPr="00BF58E5">
        <w:rPr>
          <w:rFonts w:ascii="Arial" w:eastAsia="Times New Roman" w:hAnsi="Arial" w:cs="Arial"/>
          <w:b/>
          <w:bCs/>
          <w:color w:val="000000"/>
          <w:sz w:val="18"/>
          <w:szCs w:val="18"/>
          <w:lang w:eastAsia="es-MX"/>
        </w:rPr>
        <w:t>Letayf</w:t>
      </w:r>
      <w:proofErr w:type="spellEnd"/>
      <w:r w:rsidRPr="00BF58E5">
        <w:rPr>
          <w:rFonts w:ascii="Arial" w:eastAsia="Times New Roman" w:hAnsi="Arial" w:cs="Arial"/>
          <w:b/>
          <w:bCs/>
          <w:color w:val="000000"/>
          <w:sz w:val="18"/>
          <w:szCs w:val="18"/>
          <w:lang w:eastAsia="es-MX"/>
        </w:rPr>
        <w:t xml:space="preserve"> </w:t>
      </w:r>
      <w:proofErr w:type="spellStart"/>
      <w:r w:rsidRPr="00BF58E5">
        <w:rPr>
          <w:rFonts w:ascii="Arial" w:eastAsia="Times New Roman" w:hAnsi="Arial" w:cs="Arial"/>
          <w:b/>
          <w:bCs/>
          <w:color w:val="000000"/>
          <w:sz w:val="18"/>
          <w:szCs w:val="18"/>
          <w:lang w:eastAsia="es-MX"/>
        </w:rPr>
        <w:t>Rafful</w:t>
      </w:r>
      <w:proofErr w:type="spellEnd"/>
      <w:r w:rsidRPr="00BF58E5">
        <w:rPr>
          <w:rFonts w:ascii="Arial" w:eastAsia="Times New Roman" w:hAnsi="Arial" w:cs="Arial"/>
          <w:color w:val="000000"/>
          <w:sz w:val="18"/>
          <w:szCs w:val="18"/>
          <w:lang w:eastAsia="es-MX"/>
        </w:rPr>
        <w:t xml:space="preserve">.- Rúbrica.- Directora General de Facilitación Comercial y de Comercio Exterior, </w:t>
      </w:r>
      <w:r w:rsidRPr="00BF58E5">
        <w:rPr>
          <w:rFonts w:ascii="Arial" w:eastAsia="Times New Roman" w:hAnsi="Arial" w:cs="Arial"/>
          <w:b/>
          <w:bCs/>
          <w:color w:val="000000"/>
          <w:sz w:val="18"/>
          <w:szCs w:val="18"/>
          <w:lang w:eastAsia="es-MX"/>
        </w:rPr>
        <w:t xml:space="preserve">Dora </w:t>
      </w:r>
      <w:proofErr w:type="spellStart"/>
      <w:r w:rsidRPr="00BF58E5">
        <w:rPr>
          <w:rFonts w:ascii="Arial" w:eastAsia="Times New Roman" w:hAnsi="Arial" w:cs="Arial"/>
          <w:b/>
          <w:bCs/>
          <w:color w:val="000000"/>
          <w:sz w:val="18"/>
          <w:szCs w:val="18"/>
          <w:lang w:eastAsia="es-MX"/>
        </w:rPr>
        <w:t>Clelia</w:t>
      </w:r>
      <w:proofErr w:type="spellEnd"/>
      <w:r w:rsidRPr="00BF58E5">
        <w:rPr>
          <w:rFonts w:ascii="Arial" w:eastAsia="Times New Roman" w:hAnsi="Arial" w:cs="Arial"/>
          <w:b/>
          <w:bCs/>
          <w:color w:val="000000"/>
          <w:sz w:val="18"/>
          <w:szCs w:val="18"/>
          <w:lang w:eastAsia="es-MX"/>
        </w:rPr>
        <w:t xml:space="preserve"> Rodríguez Romero</w:t>
      </w:r>
      <w:r w:rsidRPr="00BF58E5">
        <w:rPr>
          <w:rFonts w:ascii="Arial" w:eastAsia="Times New Roman" w:hAnsi="Arial" w:cs="Arial"/>
          <w:color w:val="000000"/>
          <w:sz w:val="18"/>
          <w:szCs w:val="18"/>
          <w:lang w:eastAsia="es-MX"/>
        </w:rPr>
        <w:t>.- Rúbrica.</w:t>
      </w:r>
    </w:p>
    <w:p w:rsidR="00BF58E5" w:rsidRDefault="00BF58E5" w:rsidP="00BF58E5">
      <w:pPr>
        <w:jc w:val="both"/>
      </w:pPr>
    </w:p>
    <w:sectPr w:rsidR="00BF58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4AF"/>
    <w:multiLevelType w:val="hybridMultilevel"/>
    <w:tmpl w:val="4EE89D66"/>
    <w:lvl w:ilvl="0" w:tplc="080A0001">
      <w:start w:val="1"/>
      <w:numFmt w:val="bullet"/>
      <w:lvlText w:val=""/>
      <w:lvlJc w:val="left"/>
      <w:pPr>
        <w:ind w:left="-72" w:hanging="360"/>
      </w:pPr>
      <w:rPr>
        <w:rFonts w:ascii="Symbol" w:hAnsi="Symbol"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abstractNum w:abstractNumId="1">
    <w:nsid w:val="2BEF21B0"/>
    <w:multiLevelType w:val="hybridMultilevel"/>
    <w:tmpl w:val="0C42B29A"/>
    <w:lvl w:ilvl="0" w:tplc="080A0001">
      <w:start w:val="1"/>
      <w:numFmt w:val="bullet"/>
      <w:lvlText w:val=""/>
      <w:lvlJc w:val="left"/>
      <w:pPr>
        <w:ind w:left="288" w:hanging="360"/>
      </w:pPr>
      <w:rPr>
        <w:rFonts w:ascii="Symbol" w:hAnsi="Symbol"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2">
    <w:nsid w:val="3B8F1874"/>
    <w:multiLevelType w:val="hybridMultilevel"/>
    <w:tmpl w:val="148E022A"/>
    <w:lvl w:ilvl="0" w:tplc="BA062600">
      <w:numFmt w:val="bullet"/>
      <w:lvlText w:val="·"/>
      <w:lvlJc w:val="left"/>
      <w:pPr>
        <w:ind w:left="-72" w:hanging="360"/>
      </w:pPr>
      <w:rPr>
        <w:rFonts w:ascii="Arial" w:eastAsia="Times New Roman" w:hAnsi="Arial" w:cs="Arial"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E5"/>
    <w:rsid w:val="005152B3"/>
    <w:rsid w:val="00BF58E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22571201level1">
    <w:name w:val="liststyle_922571201_level_1"/>
    <w:basedOn w:val="Fuentedeprrafopredeter"/>
    <w:rsid w:val="00BF58E5"/>
  </w:style>
  <w:style w:type="paragraph" w:styleId="Prrafodelista">
    <w:name w:val="List Paragraph"/>
    <w:basedOn w:val="Normal"/>
    <w:uiPriority w:val="34"/>
    <w:qFormat/>
    <w:rsid w:val="00BF5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22571201level1">
    <w:name w:val="liststyle_922571201_level_1"/>
    <w:basedOn w:val="Fuentedeprrafopredeter"/>
    <w:rsid w:val="00BF58E5"/>
  </w:style>
  <w:style w:type="paragraph" w:styleId="Prrafodelista">
    <w:name w:val="List Paragraph"/>
    <w:basedOn w:val="Normal"/>
    <w:uiPriority w:val="34"/>
    <w:qFormat/>
    <w:rsid w:val="00BF5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8517">
      <w:bodyDiv w:val="1"/>
      <w:marLeft w:val="0"/>
      <w:marRight w:val="0"/>
      <w:marTop w:val="0"/>
      <w:marBottom w:val="0"/>
      <w:divBdr>
        <w:top w:val="none" w:sz="0" w:space="0" w:color="auto"/>
        <w:left w:val="none" w:sz="0" w:space="0" w:color="auto"/>
        <w:bottom w:val="none" w:sz="0" w:space="0" w:color="auto"/>
        <w:right w:val="none" w:sz="0" w:space="0" w:color="auto"/>
      </w:divBdr>
      <w:divsChild>
        <w:div w:id="1058355266">
          <w:marLeft w:val="0"/>
          <w:marRight w:val="0"/>
          <w:marTop w:val="0"/>
          <w:marBottom w:val="101"/>
          <w:divBdr>
            <w:top w:val="none" w:sz="0" w:space="0" w:color="auto"/>
            <w:left w:val="none" w:sz="0" w:space="0" w:color="auto"/>
            <w:bottom w:val="none" w:sz="0" w:space="0" w:color="auto"/>
            <w:right w:val="none" w:sz="0" w:space="0" w:color="auto"/>
          </w:divBdr>
        </w:div>
        <w:div w:id="1204561994">
          <w:marLeft w:val="0"/>
          <w:marRight w:val="0"/>
          <w:marTop w:val="0"/>
          <w:marBottom w:val="101"/>
          <w:divBdr>
            <w:top w:val="none" w:sz="0" w:space="0" w:color="auto"/>
            <w:left w:val="none" w:sz="0" w:space="0" w:color="auto"/>
            <w:bottom w:val="none" w:sz="0" w:space="0" w:color="auto"/>
            <w:right w:val="none" w:sz="0" w:space="0" w:color="auto"/>
          </w:divBdr>
        </w:div>
        <w:div w:id="1118766958">
          <w:marLeft w:val="0"/>
          <w:marRight w:val="0"/>
          <w:marTop w:val="0"/>
          <w:marBottom w:val="101"/>
          <w:divBdr>
            <w:top w:val="none" w:sz="0" w:space="0" w:color="auto"/>
            <w:left w:val="none" w:sz="0" w:space="0" w:color="auto"/>
            <w:bottom w:val="none" w:sz="0" w:space="0" w:color="auto"/>
            <w:right w:val="none" w:sz="0" w:space="0" w:color="auto"/>
          </w:divBdr>
        </w:div>
        <w:div w:id="379285067">
          <w:marLeft w:val="0"/>
          <w:marRight w:val="0"/>
          <w:marTop w:val="0"/>
          <w:marBottom w:val="101"/>
          <w:divBdr>
            <w:top w:val="none" w:sz="0" w:space="0" w:color="auto"/>
            <w:left w:val="none" w:sz="0" w:space="0" w:color="auto"/>
            <w:bottom w:val="none" w:sz="0" w:space="0" w:color="auto"/>
            <w:right w:val="none" w:sz="0" w:space="0" w:color="auto"/>
          </w:divBdr>
        </w:div>
        <w:div w:id="1270116325">
          <w:marLeft w:val="0"/>
          <w:marRight w:val="0"/>
          <w:marTop w:val="0"/>
          <w:marBottom w:val="80"/>
          <w:divBdr>
            <w:top w:val="none" w:sz="0" w:space="0" w:color="auto"/>
            <w:left w:val="none" w:sz="0" w:space="0" w:color="auto"/>
            <w:bottom w:val="none" w:sz="0" w:space="0" w:color="auto"/>
            <w:right w:val="none" w:sz="0" w:space="0" w:color="auto"/>
          </w:divBdr>
        </w:div>
        <w:div w:id="1555585197">
          <w:marLeft w:val="0"/>
          <w:marRight w:val="0"/>
          <w:marTop w:val="0"/>
          <w:marBottom w:val="101"/>
          <w:divBdr>
            <w:top w:val="none" w:sz="0" w:space="0" w:color="auto"/>
            <w:left w:val="none" w:sz="0" w:space="0" w:color="auto"/>
            <w:bottom w:val="none" w:sz="0" w:space="0" w:color="auto"/>
            <w:right w:val="none" w:sz="0" w:space="0" w:color="auto"/>
          </w:divBdr>
        </w:div>
        <w:div w:id="354307239">
          <w:marLeft w:val="0"/>
          <w:marRight w:val="0"/>
          <w:marTop w:val="101"/>
          <w:marBottom w:val="101"/>
          <w:divBdr>
            <w:top w:val="none" w:sz="0" w:space="0" w:color="auto"/>
            <w:left w:val="none" w:sz="0" w:space="0" w:color="auto"/>
            <w:bottom w:val="none" w:sz="0" w:space="0" w:color="auto"/>
            <w:right w:val="none" w:sz="0" w:space="0" w:color="auto"/>
          </w:divBdr>
        </w:div>
        <w:div w:id="929191532">
          <w:marLeft w:val="0"/>
          <w:marRight w:val="0"/>
          <w:marTop w:val="0"/>
          <w:marBottom w:val="101"/>
          <w:divBdr>
            <w:top w:val="none" w:sz="0" w:space="0" w:color="auto"/>
            <w:left w:val="none" w:sz="0" w:space="0" w:color="auto"/>
            <w:bottom w:val="none" w:sz="0" w:space="0" w:color="auto"/>
            <w:right w:val="none" w:sz="0" w:space="0" w:color="auto"/>
          </w:divBdr>
        </w:div>
        <w:div w:id="8876902">
          <w:marLeft w:val="0"/>
          <w:marRight w:val="0"/>
          <w:marTop w:val="0"/>
          <w:marBottom w:val="101"/>
          <w:divBdr>
            <w:top w:val="none" w:sz="0" w:space="0" w:color="auto"/>
            <w:left w:val="none" w:sz="0" w:space="0" w:color="auto"/>
            <w:bottom w:val="none" w:sz="0" w:space="0" w:color="auto"/>
            <w:right w:val="none" w:sz="0" w:space="0" w:color="auto"/>
          </w:divBdr>
        </w:div>
        <w:div w:id="881556153">
          <w:marLeft w:val="0"/>
          <w:marRight w:val="0"/>
          <w:marTop w:val="0"/>
          <w:marBottom w:val="101"/>
          <w:divBdr>
            <w:top w:val="none" w:sz="0" w:space="0" w:color="auto"/>
            <w:left w:val="none" w:sz="0" w:space="0" w:color="auto"/>
            <w:bottom w:val="none" w:sz="0" w:space="0" w:color="auto"/>
            <w:right w:val="none" w:sz="0" w:space="0" w:color="auto"/>
          </w:divBdr>
        </w:div>
        <w:div w:id="1134564317">
          <w:marLeft w:val="0"/>
          <w:marRight w:val="0"/>
          <w:marTop w:val="0"/>
          <w:marBottom w:val="101"/>
          <w:divBdr>
            <w:top w:val="none" w:sz="0" w:space="0" w:color="auto"/>
            <w:left w:val="none" w:sz="0" w:space="0" w:color="auto"/>
            <w:bottom w:val="none" w:sz="0" w:space="0" w:color="auto"/>
            <w:right w:val="none" w:sz="0" w:space="0" w:color="auto"/>
          </w:divBdr>
        </w:div>
        <w:div w:id="8067679">
          <w:marLeft w:val="0"/>
          <w:marRight w:val="0"/>
          <w:marTop w:val="0"/>
          <w:marBottom w:val="101"/>
          <w:divBdr>
            <w:top w:val="none" w:sz="0" w:space="0" w:color="auto"/>
            <w:left w:val="none" w:sz="0" w:space="0" w:color="auto"/>
            <w:bottom w:val="none" w:sz="0" w:space="0" w:color="auto"/>
            <w:right w:val="none" w:sz="0" w:space="0" w:color="auto"/>
          </w:divBdr>
        </w:div>
        <w:div w:id="1909026315">
          <w:marLeft w:val="0"/>
          <w:marRight w:val="0"/>
          <w:marTop w:val="0"/>
          <w:marBottom w:val="101"/>
          <w:divBdr>
            <w:top w:val="none" w:sz="0" w:space="0" w:color="auto"/>
            <w:left w:val="none" w:sz="0" w:space="0" w:color="auto"/>
            <w:bottom w:val="none" w:sz="0" w:space="0" w:color="auto"/>
            <w:right w:val="none" w:sz="0" w:space="0" w:color="auto"/>
          </w:divBdr>
        </w:div>
        <w:div w:id="1138033931">
          <w:marLeft w:val="0"/>
          <w:marRight w:val="0"/>
          <w:marTop w:val="0"/>
          <w:marBottom w:val="101"/>
          <w:divBdr>
            <w:top w:val="none" w:sz="0" w:space="0" w:color="auto"/>
            <w:left w:val="none" w:sz="0" w:space="0" w:color="auto"/>
            <w:bottom w:val="none" w:sz="0" w:space="0" w:color="auto"/>
            <w:right w:val="none" w:sz="0" w:space="0" w:color="auto"/>
          </w:divBdr>
        </w:div>
        <w:div w:id="2062944036">
          <w:marLeft w:val="0"/>
          <w:marRight w:val="0"/>
          <w:marTop w:val="0"/>
          <w:marBottom w:val="101"/>
          <w:divBdr>
            <w:top w:val="none" w:sz="0" w:space="0" w:color="auto"/>
            <w:left w:val="none" w:sz="0" w:space="0" w:color="auto"/>
            <w:bottom w:val="none" w:sz="0" w:space="0" w:color="auto"/>
            <w:right w:val="none" w:sz="0" w:space="0" w:color="auto"/>
          </w:divBdr>
        </w:div>
        <w:div w:id="1940479631">
          <w:marLeft w:val="0"/>
          <w:marRight w:val="0"/>
          <w:marTop w:val="0"/>
          <w:marBottom w:val="101"/>
          <w:divBdr>
            <w:top w:val="none" w:sz="0" w:space="0" w:color="auto"/>
            <w:left w:val="none" w:sz="0" w:space="0" w:color="auto"/>
            <w:bottom w:val="none" w:sz="0" w:space="0" w:color="auto"/>
            <w:right w:val="none" w:sz="0" w:space="0" w:color="auto"/>
          </w:divBdr>
        </w:div>
        <w:div w:id="816185594">
          <w:marLeft w:val="720"/>
          <w:marRight w:val="0"/>
          <w:marTop w:val="0"/>
          <w:marBottom w:val="101"/>
          <w:divBdr>
            <w:top w:val="none" w:sz="0" w:space="0" w:color="auto"/>
            <w:left w:val="none" w:sz="0" w:space="0" w:color="auto"/>
            <w:bottom w:val="none" w:sz="0" w:space="0" w:color="auto"/>
            <w:right w:val="none" w:sz="0" w:space="0" w:color="auto"/>
          </w:divBdr>
        </w:div>
        <w:div w:id="1977561542">
          <w:marLeft w:val="720"/>
          <w:marRight w:val="0"/>
          <w:marTop w:val="0"/>
          <w:marBottom w:val="101"/>
          <w:divBdr>
            <w:top w:val="none" w:sz="0" w:space="0" w:color="auto"/>
            <w:left w:val="none" w:sz="0" w:space="0" w:color="auto"/>
            <w:bottom w:val="none" w:sz="0" w:space="0" w:color="auto"/>
            <w:right w:val="none" w:sz="0" w:space="0" w:color="auto"/>
          </w:divBdr>
        </w:div>
        <w:div w:id="577011424">
          <w:marLeft w:val="720"/>
          <w:marRight w:val="0"/>
          <w:marTop w:val="0"/>
          <w:marBottom w:val="101"/>
          <w:divBdr>
            <w:top w:val="none" w:sz="0" w:space="0" w:color="auto"/>
            <w:left w:val="none" w:sz="0" w:space="0" w:color="auto"/>
            <w:bottom w:val="none" w:sz="0" w:space="0" w:color="auto"/>
            <w:right w:val="none" w:sz="0" w:space="0" w:color="auto"/>
          </w:divBdr>
        </w:div>
        <w:div w:id="1957634499">
          <w:marLeft w:val="720"/>
          <w:marRight w:val="0"/>
          <w:marTop w:val="0"/>
          <w:marBottom w:val="101"/>
          <w:divBdr>
            <w:top w:val="none" w:sz="0" w:space="0" w:color="auto"/>
            <w:left w:val="none" w:sz="0" w:space="0" w:color="auto"/>
            <w:bottom w:val="none" w:sz="0" w:space="0" w:color="auto"/>
            <w:right w:val="none" w:sz="0" w:space="0" w:color="auto"/>
          </w:divBdr>
        </w:div>
        <w:div w:id="1445272311">
          <w:marLeft w:val="720"/>
          <w:marRight w:val="0"/>
          <w:marTop w:val="0"/>
          <w:marBottom w:val="101"/>
          <w:divBdr>
            <w:top w:val="none" w:sz="0" w:space="0" w:color="auto"/>
            <w:left w:val="none" w:sz="0" w:space="0" w:color="auto"/>
            <w:bottom w:val="none" w:sz="0" w:space="0" w:color="auto"/>
            <w:right w:val="none" w:sz="0" w:space="0" w:color="auto"/>
          </w:divBdr>
        </w:div>
        <w:div w:id="87433365">
          <w:marLeft w:val="720"/>
          <w:marRight w:val="0"/>
          <w:marTop w:val="0"/>
          <w:marBottom w:val="101"/>
          <w:divBdr>
            <w:top w:val="none" w:sz="0" w:space="0" w:color="auto"/>
            <w:left w:val="none" w:sz="0" w:space="0" w:color="auto"/>
            <w:bottom w:val="none" w:sz="0" w:space="0" w:color="auto"/>
            <w:right w:val="none" w:sz="0" w:space="0" w:color="auto"/>
          </w:divBdr>
        </w:div>
        <w:div w:id="2054689518">
          <w:marLeft w:val="0"/>
          <w:marRight w:val="0"/>
          <w:marTop w:val="0"/>
          <w:marBottom w:val="101"/>
          <w:divBdr>
            <w:top w:val="none" w:sz="0" w:space="0" w:color="auto"/>
            <w:left w:val="none" w:sz="0" w:space="0" w:color="auto"/>
            <w:bottom w:val="none" w:sz="0" w:space="0" w:color="auto"/>
            <w:right w:val="none" w:sz="0" w:space="0" w:color="auto"/>
          </w:divBdr>
        </w:div>
        <w:div w:id="972056141">
          <w:marLeft w:val="0"/>
          <w:marRight w:val="0"/>
          <w:marTop w:val="0"/>
          <w:marBottom w:val="101"/>
          <w:divBdr>
            <w:top w:val="none" w:sz="0" w:space="0" w:color="auto"/>
            <w:left w:val="none" w:sz="0" w:space="0" w:color="auto"/>
            <w:bottom w:val="none" w:sz="0" w:space="0" w:color="auto"/>
            <w:right w:val="none" w:sz="0" w:space="0" w:color="auto"/>
          </w:divBdr>
        </w:div>
        <w:div w:id="783580410">
          <w:marLeft w:val="0"/>
          <w:marRight w:val="0"/>
          <w:marTop w:val="0"/>
          <w:marBottom w:val="101"/>
          <w:divBdr>
            <w:top w:val="none" w:sz="0" w:space="0" w:color="auto"/>
            <w:left w:val="none" w:sz="0" w:space="0" w:color="auto"/>
            <w:bottom w:val="none" w:sz="0" w:space="0" w:color="auto"/>
            <w:right w:val="none" w:sz="0" w:space="0" w:color="auto"/>
          </w:divBdr>
        </w:div>
        <w:div w:id="526913370">
          <w:marLeft w:val="0"/>
          <w:marRight w:val="0"/>
          <w:marTop w:val="0"/>
          <w:marBottom w:val="101"/>
          <w:divBdr>
            <w:top w:val="none" w:sz="0" w:space="0" w:color="auto"/>
            <w:left w:val="none" w:sz="0" w:space="0" w:color="auto"/>
            <w:bottom w:val="none" w:sz="0" w:space="0" w:color="auto"/>
            <w:right w:val="none" w:sz="0" w:space="0" w:color="auto"/>
          </w:divBdr>
        </w:div>
        <w:div w:id="2043824891">
          <w:marLeft w:val="0"/>
          <w:marRight w:val="0"/>
          <w:marTop w:val="0"/>
          <w:marBottom w:val="101"/>
          <w:divBdr>
            <w:top w:val="none" w:sz="0" w:space="0" w:color="auto"/>
            <w:left w:val="none" w:sz="0" w:space="0" w:color="auto"/>
            <w:bottom w:val="none" w:sz="0" w:space="0" w:color="auto"/>
            <w:right w:val="none" w:sz="0" w:space="0" w:color="auto"/>
          </w:divBdr>
        </w:div>
        <w:div w:id="425542454">
          <w:marLeft w:val="0"/>
          <w:marRight w:val="0"/>
          <w:marTop w:val="0"/>
          <w:marBottom w:val="101"/>
          <w:divBdr>
            <w:top w:val="none" w:sz="0" w:space="0" w:color="auto"/>
            <w:left w:val="none" w:sz="0" w:space="0" w:color="auto"/>
            <w:bottom w:val="none" w:sz="0" w:space="0" w:color="auto"/>
            <w:right w:val="none" w:sz="0" w:space="0" w:color="auto"/>
          </w:divBdr>
        </w:div>
        <w:div w:id="270476982">
          <w:marLeft w:val="0"/>
          <w:marRight w:val="0"/>
          <w:marTop w:val="0"/>
          <w:marBottom w:val="101"/>
          <w:divBdr>
            <w:top w:val="none" w:sz="0" w:space="0" w:color="auto"/>
            <w:left w:val="none" w:sz="0" w:space="0" w:color="auto"/>
            <w:bottom w:val="none" w:sz="0" w:space="0" w:color="auto"/>
            <w:right w:val="none" w:sz="0" w:space="0" w:color="auto"/>
          </w:divBdr>
        </w:div>
        <w:div w:id="959187900">
          <w:marLeft w:val="0"/>
          <w:marRight w:val="0"/>
          <w:marTop w:val="0"/>
          <w:marBottom w:val="101"/>
          <w:divBdr>
            <w:top w:val="none" w:sz="0" w:space="0" w:color="auto"/>
            <w:left w:val="none" w:sz="0" w:space="0" w:color="auto"/>
            <w:bottom w:val="none" w:sz="0" w:space="0" w:color="auto"/>
            <w:right w:val="none" w:sz="0" w:space="0" w:color="auto"/>
          </w:divBdr>
        </w:div>
        <w:div w:id="847331490">
          <w:marLeft w:val="0"/>
          <w:marRight w:val="0"/>
          <w:marTop w:val="0"/>
          <w:marBottom w:val="101"/>
          <w:divBdr>
            <w:top w:val="none" w:sz="0" w:space="0" w:color="auto"/>
            <w:left w:val="none" w:sz="0" w:space="0" w:color="auto"/>
            <w:bottom w:val="none" w:sz="0" w:space="0" w:color="auto"/>
            <w:right w:val="none" w:sz="0" w:space="0" w:color="auto"/>
          </w:divBdr>
        </w:div>
        <w:div w:id="843592470">
          <w:marLeft w:val="0"/>
          <w:marRight w:val="0"/>
          <w:marTop w:val="0"/>
          <w:marBottom w:val="101"/>
          <w:divBdr>
            <w:top w:val="none" w:sz="0" w:space="0" w:color="auto"/>
            <w:left w:val="none" w:sz="0" w:space="0" w:color="auto"/>
            <w:bottom w:val="none" w:sz="0" w:space="0" w:color="auto"/>
            <w:right w:val="none" w:sz="0" w:space="0" w:color="auto"/>
          </w:divBdr>
        </w:div>
        <w:div w:id="1942906310">
          <w:marLeft w:val="0"/>
          <w:marRight w:val="0"/>
          <w:marTop w:val="0"/>
          <w:marBottom w:val="101"/>
          <w:divBdr>
            <w:top w:val="none" w:sz="0" w:space="0" w:color="auto"/>
            <w:left w:val="none" w:sz="0" w:space="0" w:color="auto"/>
            <w:bottom w:val="none" w:sz="0" w:space="0" w:color="auto"/>
            <w:right w:val="none" w:sz="0" w:space="0" w:color="auto"/>
          </w:divBdr>
        </w:div>
        <w:div w:id="2083793538">
          <w:marLeft w:val="0"/>
          <w:marRight w:val="0"/>
          <w:marTop w:val="0"/>
          <w:marBottom w:val="101"/>
          <w:divBdr>
            <w:top w:val="none" w:sz="0" w:space="0" w:color="auto"/>
            <w:left w:val="none" w:sz="0" w:space="0" w:color="auto"/>
            <w:bottom w:val="none" w:sz="0" w:space="0" w:color="auto"/>
            <w:right w:val="none" w:sz="0" w:space="0" w:color="auto"/>
          </w:divBdr>
        </w:div>
        <w:div w:id="1331058624">
          <w:marLeft w:val="0"/>
          <w:marRight w:val="0"/>
          <w:marTop w:val="0"/>
          <w:marBottom w:val="101"/>
          <w:divBdr>
            <w:top w:val="none" w:sz="0" w:space="0" w:color="auto"/>
            <w:left w:val="none" w:sz="0" w:space="0" w:color="auto"/>
            <w:bottom w:val="none" w:sz="0" w:space="0" w:color="auto"/>
            <w:right w:val="none" w:sz="0" w:space="0" w:color="auto"/>
          </w:divBdr>
        </w:div>
        <w:div w:id="1874880465">
          <w:marLeft w:val="0"/>
          <w:marRight w:val="0"/>
          <w:marTop w:val="0"/>
          <w:marBottom w:val="101"/>
          <w:divBdr>
            <w:top w:val="none" w:sz="0" w:space="0" w:color="auto"/>
            <w:left w:val="none" w:sz="0" w:space="0" w:color="auto"/>
            <w:bottom w:val="none" w:sz="0" w:space="0" w:color="auto"/>
            <w:right w:val="none" w:sz="0" w:space="0" w:color="auto"/>
          </w:divBdr>
        </w:div>
        <w:div w:id="1938097633">
          <w:marLeft w:val="0"/>
          <w:marRight w:val="0"/>
          <w:marTop w:val="0"/>
          <w:marBottom w:val="101"/>
          <w:divBdr>
            <w:top w:val="none" w:sz="0" w:space="0" w:color="auto"/>
            <w:left w:val="none" w:sz="0" w:space="0" w:color="auto"/>
            <w:bottom w:val="none" w:sz="0" w:space="0" w:color="auto"/>
            <w:right w:val="none" w:sz="0" w:space="0" w:color="auto"/>
          </w:divBdr>
        </w:div>
        <w:div w:id="537354654">
          <w:marLeft w:val="0"/>
          <w:marRight w:val="0"/>
          <w:marTop w:val="0"/>
          <w:marBottom w:val="101"/>
          <w:divBdr>
            <w:top w:val="none" w:sz="0" w:space="0" w:color="auto"/>
            <w:left w:val="none" w:sz="0" w:space="0" w:color="auto"/>
            <w:bottom w:val="none" w:sz="0" w:space="0" w:color="auto"/>
            <w:right w:val="none" w:sz="0" w:space="0" w:color="auto"/>
          </w:divBdr>
        </w:div>
        <w:div w:id="62799267">
          <w:marLeft w:val="0"/>
          <w:marRight w:val="0"/>
          <w:marTop w:val="0"/>
          <w:marBottom w:val="101"/>
          <w:divBdr>
            <w:top w:val="none" w:sz="0" w:space="0" w:color="auto"/>
            <w:left w:val="none" w:sz="0" w:space="0" w:color="auto"/>
            <w:bottom w:val="none" w:sz="0" w:space="0" w:color="auto"/>
            <w:right w:val="none" w:sz="0" w:space="0" w:color="auto"/>
          </w:divBdr>
        </w:div>
        <w:div w:id="529028788">
          <w:marLeft w:val="0"/>
          <w:marRight w:val="0"/>
          <w:marTop w:val="0"/>
          <w:marBottom w:val="101"/>
          <w:divBdr>
            <w:top w:val="none" w:sz="0" w:space="0" w:color="auto"/>
            <w:left w:val="none" w:sz="0" w:space="0" w:color="auto"/>
            <w:bottom w:val="none" w:sz="0" w:space="0" w:color="auto"/>
            <w:right w:val="none" w:sz="0" w:space="0" w:color="auto"/>
          </w:divBdr>
        </w:div>
        <w:div w:id="1277373042">
          <w:marLeft w:val="0"/>
          <w:marRight w:val="0"/>
          <w:marTop w:val="0"/>
          <w:marBottom w:val="101"/>
          <w:divBdr>
            <w:top w:val="none" w:sz="0" w:space="0" w:color="auto"/>
            <w:left w:val="none" w:sz="0" w:space="0" w:color="auto"/>
            <w:bottom w:val="none" w:sz="0" w:space="0" w:color="auto"/>
            <w:right w:val="none" w:sz="0" w:space="0" w:color="auto"/>
          </w:divBdr>
        </w:div>
        <w:div w:id="1919826244">
          <w:marLeft w:val="0"/>
          <w:marRight w:val="0"/>
          <w:marTop w:val="0"/>
          <w:marBottom w:val="101"/>
          <w:divBdr>
            <w:top w:val="none" w:sz="0" w:space="0" w:color="auto"/>
            <w:left w:val="none" w:sz="0" w:space="0" w:color="auto"/>
            <w:bottom w:val="none" w:sz="0" w:space="0" w:color="auto"/>
            <w:right w:val="none" w:sz="0" w:space="0" w:color="auto"/>
          </w:divBdr>
        </w:div>
        <w:div w:id="248119773">
          <w:marLeft w:val="720"/>
          <w:marRight w:val="0"/>
          <w:marTop w:val="0"/>
          <w:marBottom w:val="101"/>
          <w:divBdr>
            <w:top w:val="none" w:sz="0" w:space="0" w:color="auto"/>
            <w:left w:val="none" w:sz="0" w:space="0" w:color="auto"/>
            <w:bottom w:val="none" w:sz="0" w:space="0" w:color="auto"/>
            <w:right w:val="none" w:sz="0" w:space="0" w:color="auto"/>
          </w:divBdr>
        </w:div>
        <w:div w:id="1941403177">
          <w:marLeft w:val="0"/>
          <w:marRight w:val="0"/>
          <w:marTop w:val="0"/>
          <w:marBottom w:val="101"/>
          <w:divBdr>
            <w:top w:val="none" w:sz="0" w:space="0" w:color="auto"/>
            <w:left w:val="none" w:sz="0" w:space="0" w:color="auto"/>
            <w:bottom w:val="none" w:sz="0" w:space="0" w:color="auto"/>
            <w:right w:val="none" w:sz="0" w:space="0" w:color="auto"/>
          </w:divBdr>
        </w:div>
        <w:div w:id="873276923">
          <w:marLeft w:val="0"/>
          <w:marRight w:val="0"/>
          <w:marTop w:val="0"/>
          <w:marBottom w:val="101"/>
          <w:divBdr>
            <w:top w:val="none" w:sz="0" w:space="0" w:color="auto"/>
            <w:left w:val="none" w:sz="0" w:space="0" w:color="auto"/>
            <w:bottom w:val="none" w:sz="0" w:space="0" w:color="auto"/>
            <w:right w:val="none" w:sz="0" w:space="0" w:color="auto"/>
          </w:divBdr>
        </w:div>
        <w:div w:id="277880289">
          <w:marLeft w:val="0"/>
          <w:marRight w:val="0"/>
          <w:marTop w:val="0"/>
          <w:marBottom w:val="101"/>
          <w:divBdr>
            <w:top w:val="none" w:sz="0" w:space="0" w:color="auto"/>
            <w:left w:val="none" w:sz="0" w:space="0" w:color="auto"/>
            <w:bottom w:val="none" w:sz="0" w:space="0" w:color="auto"/>
            <w:right w:val="none" w:sz="0" w:space="0" w:color="auto"/>
          </w:divBdr>
        </w:div>
        <w:div w:id="1058168277">
          <w:marLeft w:val="0"/>
          <w:marRight w:val="0"/>
          <w:marTop w:val="0"/>
          <w:marBottom w:val="101"/>
          <w:divBdr>
            <w:top w:val="none" w:sz="0" w:space="0" w:color="auto"/>
            <w:left w:val="none" w:sz="0" w:space="0" w:color="auto"/>
            <w:bottom w:val="none" w:sz="0" w:space="0" w:color="auto"/>
            <w:right w:val="none" w:sz="0" w:space="0" w:color="auto"/>
          </w:divBdr>
        </w:div>
        <w:div w:id="1635015118">
          <w:marLeft w:val="0"/>
          <w:marRight w:val="0"/>
          <w:marTop w:val="0"/>
          <w:marBottom w:val="101"/>
          <w:divBdr>
            <w:top w:val="none" w:sz="0" w:space="0" w:color="auto"/>
            <w:left w:val="none" w:sz="0" w:space="0" w:color="auto"/>
            <w:bottom w:val="none" w:sz="0" w:space="0" w:color="auto"/>
            <w:right w:val="none" w:sz="0" w:space="0" w:color="auto"/>
          </w:divBdr>
        </w:div>
        <w:div w:id="1692297514">
          <w:marLeft w:val="0"/>
          <w:marRight w:val="0"/>
          <w:marTop w:val="0"/>
          <w:marBottom w:val="101"/>
          <w:divBdr>
            <w:top w:val="none" w:sz="0" w:space="0" w:color="auto"/>
            <w:left w:val="none" w:sz="0" w:space="0" w:color="auto"/>
            <w:bottom w:val="none" w:sz="0" w:space="0" w:color="auto"/>
            <w:right w:val="none" w:sz="0" w:space="0" w:color="auto"/>
          </w:divBdr>
        </w:div>
        <w:div w:id="129783105">
          <w:marLeft w:val="0"/>
          <w:marRight w:val="0"/>
          <w:marTop w:val="0"/>
          <w:marBottom w:val="101"/>
          <w:divBdr>
            <w:top w:val="none" w:sz="0" w:space="0" w:color="auto"/>
            <w:left w:val="none" w:sz="0" w:space="0" w:color="auto"/>
            <w:bottom w:val="none" w:sz="0" w:space="0" w:color="auto"/>
            <w:right w:val="none" w:sz="0" w:space="0" w:color="auto"/>
          </w:divBdr>
        </w:div>
        <w:div w:id="1220173279">
          <w:marLeft w:val="0"/>
          <w:marRight w:val="0"/>
          <w:marTop w:val="0"/>
          <w:marBottom w:val="101"/>
          <w:divBdr>
            <w:top w:val="none" w:sz="0" w:space="0" w:color="auto"/>
            <w:left w:val="none" w:sz="0" w:space="0" w:color="auto"/>
            <w:bottom w:val="none" w:sz="0" w:space="0" w:color="auto"/>
            <w:right w:val="none" w:sz="0" w:space="0" w:color="auto"/>
          </w:divBdr>
        </w:div>
        <w:div w:id="1251893442">
          <w:marLeft w:val="0"/>
          <w:marRight w:val="0"/>
          <w:marTop w:val="0"/>
          <w:marBottom w:val="101"/>
          <w:divBdr>
            <w:top w:val="none" w:sz="0" w:space="0" w:color="auto"/>
            <w:left w:val="none" w:sz="0" w:space="0" w:color="auto"/>
            <w:bottom w:val="none" w:sz="0" w:space="0" w:color="auto"/>
            <w:right w:val="none" w:sz="0" w:space="0" w:color="auto"/>
          </w:divBdr>
        </w:div>
        <w:div w:id="534001476">
          <w:marLeft w:val="0"/>
          <w:marRight w:val="0"/>
          <w:marTop w:val="0"/>
          <w:marBottom w:val="101"/>
          <w:divBdr>
            <w:top w:val="none" w:sz="0" w:space="0" w:color="auto"/>
            <w:left w:val="none" w:sz="0" w:space="0" w:color="auto"/>
            <w:bottom w:val="none" w:sz="0" w:space="0" w:color="auto"/>
            <w:right w:val="none" w:sz="0" w:space="0" w:color="auto"/>
          </w:divBdr>
        </w:div>
        <w:div w:id="1374306046">
          <w:marLeft w:val="0"/>
          <w:marRight w:val="0"/>
          <w:marTop w:val="0"/>
          <w:marBottom w:val="101"/>
          <w:divBdr>
            <w:top w:val="none" w:sz="0" w:space="0" w:color="auto"/>
            <w:left w:val="none" w:sz="0" w:space="0" w:color="auto"/>
            <w:bottom w:val="none" w:sz="0" w:space="0" w:color="auto"/>
            <w:right w:val="none" w:sz="0" w:space="0" w:color="auto"/>
          </w:divBdr>
        </w:div>
        <w:div w:id="1060858975">
          <w:marLeft w:val="0"/>
          <w:marRight w:val="0"/>
          <w:marTop w:val="0"/>
          <w:marBottom w:val="101"/>
          <w:divBdr>
            <w:top w:val="none" w:sz="0" w:space="0" w:color="auto"/>
            <w:left w:val="none" w:sz="0" w:space="0" w:color="auto"/>
            <w:bottom w:val="none" w:sz="0" w:space="0" w:color="auto"/>
            <w:right w:val="none" w:sz="0" w:space="0" w:color="auto"/>
          </w:divBdr>
        </w:div>
        <w:div w:id="595137109">
          <w:marLeft w:val="0"/>
          <w:marRight w:val="0"/>
          <w:marTop w:val="0"/>
          <w:marBottom w:val="101"/>
          <w:divBdr>
            <w:top w:val="none" w:sz="0" w:space="0" w:color="auto"/>
            <w:left w:val="none" w:sz="0" w:space="0" w:color="auto"/>
            <w:bottom w:val="none" w:sz="0" w:space="0" w:color="auto"/>
            <w:right w:val="none" w:sz="0" w:space="0" w:color="auto"/>
          </w:divBdr>
        </w:div>
        <w:div w:id="1194997011">
          <w:marLeft w:val="0"/>
          <w:marRight w:val="0"/>
          <w:marTop w:val="0"/>
          <w:marBottom w:val="101"/>
          <w:divBdr>
            <w:top w:val="none" w:sz="0" w:space="0" w:color="auto"/>
            <w:left w:val="none" w:sz="0" w:space="0" w:color="auto"/>
            <w:bottom w:val="none" w:sz="0" w:space="0" w:color="auto"/>
            <w:right w:val="none" w:sz="0" w:space="0" w:color="auto"/>
          </w:divBdr>
        </w:div>
        <w:div w:id="691952673">
          <w:marLeft w:val="0"/>
          <w:marRight w:val="0"/>
          <w:marTop w:val="0"/>
          <w:marBottom w:val="101"/>
          <w:divBdr>
            <w:top w:val="none" w:sz="0" w:space="0" w:color="auto"/>
            <w:left w:val="none" w:sz="0" w:space="0" w:color="auto"/>
            <w:bottom w:val="none" w:sz="0" w:space="0" w:color="auto"/>
            <w:right w:val="none" w:sz="0" w:space="0" w:color="auto"/>
          </w:divBdr>
        </w:div>
        <w:div w:id="32507355">
          <w:marLeft w:val="0"/>
          <w:marRight w:val="0"/>
          <w:marTop w:val="0"/>
          <w:marBottom w:val="101"/>
          <w:divBdr>
            <w:top w:val="none" w:sz="0" w:space="0" w:color="auto"/>
            <w:left w:val="none" w:sz="0" w:space="0" w:color="auto"/>
            <w:bottom w:val="none" w:sz="0" w:space="0" w:color="auto"/>
            <w:right w:val="none" w:sz="0" w:space="0" w:color="auto"/>
          </w:divBdr>
        </w:div>
        <w:div w:id="649407123">
          <w:marLeft w:val="0"/>
          <w:marRight w:val="0"/>
          <w:marTop w:val="0"/>
          <w:marBottom w:val="101"/>
          <w:divBdr>
            <w:top w:val="none" w:sz="0" w:space="0" w:color="auto"/>
            <w:left w:val="none" w:sz="0" w:space="0" w:color="auto"/>
            <w:bottom w:val="none" w:sz="0" w:space="0" w:color="auto"/>
            <w:right w:val="none" w:sz="0" w:space="0" w:color="auto"/>
          </w:divBdr>
        </w:div>
        <w:div w:id="1729644105">
          <w:marLeft w:val="0"/>
          <w:marRight w:val="0"/>
          <w:marTop w:val="0"/>
          <w:marBottom w:val="101"/>
          <w:divBdr>
            <w:top w:val="none" w:sz="0" w:space="0" w:color="auto"/>
            <w:left w:val="none" w:sz="0" w:space="0" w:color="auto"/>
            <w:bottom w:val="none" w:sz="0" w:space="0" w:color="auto"/>
            <w:right w:val="none" w:sz="0" w:space="0" w:color="auto"/>
          </w:divBdr>
        </w:div>
        <w:div w:id="52848325">
          <w:marLeft w:val="0"/>
          <w:marRight w:val="0"/>
          <w:marTop w:val="0"/>
          <w:marBottom w:val="101"/>
          <w:divBdr>
            <w:top w:val="none" w:sz="0" w:space="0" w:color="auto"/>
            <w:left w:val="none" w:sz="0" w:space="0" w:color="auto"/>
            <w:bottom w:val="none" w:sz="0" w:space="0" w:color="auto"/>
            <w:right w:val="none" w:sz="0" w:space="0" w:color="auto"/>
          </w:divBdr>
        </w:div>
        <w:div w:id="921255046">
          <w:marLeft w:val="0"/>
          <w:marRight w:val="0"/>
          <w:marTop w:val="0"/>
          <w:marBottom w:val="101"/>
          <w:divBdr>
            <w:top w:val="none" w:sz="0" w:space="0" w:color="auto"/>
            <w:left w:val="none" w:sz="0" w:space="0" w:color="auto"/>
            <w:bottom w:val="none" w:sz="0" w:space="0" w:color="auto"/>
            <w:right w:val="none" w:sz="0" w:space="0" w:color="auto"/>
          </w:divBdr>
        </w:div>
        <w:div w:id="2025981583">
          <w:marLeft w:val="0"/>
          <w:marRight w:val="0"/>
          <w:marTop w:val="0"/>
          <w:marBottom w:val="101"/>
          <w:divBdr>
            <w:top w:val="none" w:sz="0" w:space="0" w:color="auto"/>
            <w:left w:val="none" w:sz="0" w:space="0" w:color="auto"/>
            <w:bottom w:val="none" w:sz="0" w:space="0" w:color="auto"/>
            <w:right w:val="none" w:sz="0" w:space="0" w:color="auto"/>
          </w:divBdr>
        </w:div>
        <w:div w:id="710036186">
          <w:marLeft w:val="0"/>
          <w:marRight w:val="0"/>
          <w:marTop w:val="0"/>
          <w:marBottom w:val="101"/>
          <w:divBdr>
            <w:top w:val="none" w:sz="0" w:space="0" w:color="auto"/>
            <w:left w:val="none" w:sz="0" w:space="0" w:color="auto"/>
            <w:bottom w:val="none" w:sz="0" w:space="0" w:color="auto"/>
            <w:right w:val="none" w:sz="0" w:space="0" w:color="auto"/>
          </w:divBdr>
        </w:div>
        <w:div w:id="1044215547">
          <w:marLeft w:val="0"/>
          <w:marRight w:val="0"/>
          <w:marTop w:val="0"/>
          <w:marBottom w:val="101"/>
          <w:divBdr>
            <w:top w:val="none" w:sz="0" w:space="0" w:color="auto"/>
            <w:left w:val="none" w:sz="0" w:space="0" w:color="auto"/>
            <w:bottom w:val="none" w:sz="0" w:space="0" w:color="auto"/>
            <w:right w:val="none" w:sz="0" w:space="0" w:color="auto"/>
          </w:divBdr>
        </w:div>
        <w:div w:id="868566142">
          <w:marLeft w:val="0"/>
          <w:marRight w:val="0"/>
          <w:marTop w:val="0"/>
          <w:marBottom w:val="101"/>
          <w:divBdr>
            <w:top w:val="none" w:sz="0" w:space="0" w:color="auto"/>
            <w:left w:val="none" w:sz="0" w:space="0" w:color="auto"/>
            <w:bottom w:val="none" w:sz="0" w:space="0" w:color="auto"/>
            <w:right w:val="none" w:sz="0" w:space="0" w:color="auto"/>
          </w:divBdr>
        </w:div>
        <w:div w:id="538204504">
          <w:marLeft w:val="0"/>
          <w:marRight w:val="0"/>
          <w:marTop w:val="0"/>
          <w:marBottom w:val="101"/>
          <w:divBdr>
            <w:top w:val="none" w:sz="0" w:space="0" w:color="auto"/>
            <w:left w:val="none" w:sz="0" w:space="0" w:color="auto"/>
            <w:bottom w:val="none" w:sz="0" w:space="0" w:color="auto"/>
            <w:right w:val="none" w:sz="0" w:space="0" w:color="auto"/>
          </w:divBdr>
        </w:div>
        <w:div w:id="6554937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2022-04-12T13:12:00Z</dcterms:created>
  <dcterms:modified xsi:type="dcterms:W3CDTF">2022-04-12T13:17:00Z</dcterms:modified>
</cp:coreProperties>
</file>