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85F3C" w:rsidP="00885F3C">
      <w:pPr>
        <w:jc w:val="center"/>
        <w:rPr>
          <w:rFonts w:ascii="Verdana" w:hAnsi="Verdana"/>
          <w:b/>
          <w:color w:val="0070C0"/>
          <w:sz w:val="24"/>
        </w:rPr>
      </w:pPr>
      <w:r w:rsidRPr="00885F3C">
        <w:rPr>
          <w:rFonts w:ascii="Verdana" w:hAnsi="Verdana"/>
          <w:b/>
          <w:color w:val="0070C0"/>
          <w:sz w:val="24"/>
        </w:rPr>
        <w:t>Decreto por el que se adicionan diversas disposiciones del Reglamento de la Ley Federal de Zonas Económicas Especiales</w:t>
      </w:r>
    </w:p>
    <w:p w:rsidR="00885F3C" w:rsidRDefault="00885F3C" w:rsidP="00885F3C">
      <w:pPr>
        <w:jc w:val="center"/>
        <w:rPr>
          <w:rFonts w:ascii="Verdana" w:hAnsi="Verdana"/>
          <w:b/>
          <w:color w:val="0070C0"/>
          <w:sz w:val="24"/>
        </w:rPr>
      </w:pPr>
      <w:r>
        <w:rPr>
          <w:rFonts w:ascii="Verdana" w:hAnsi="Verdana"/>
          <w:b/>
          <w:color w:val="0070C0"/>
          <w:sz w:val="24"/>
        </w:rPr>
        <w:t>(DOF del 29 de septiembre de 2017)</w:t>
      </w:r>
    </w:p>
    <w:p w:rsidR="00885F3C" w:rsidRPr="00885F3C" w:rsidRDefault="00885F3C" w:rsidP="00885F3C">
      <w:pPr>
        <w:jc w:val="both"/>
        <w:rPr>
          <w:rFonts w:ascii="Verdana" w:hAnsi="Verdana"/>
          <w:b/>
          <w:bCs/>
          <w:sz w:val="20"/>
        </w:rPr>
      </w:pPr>
      <w:r w:rsidRPr="00885F3C">
        <w:rPr>
          <w:rFonts w:ascii="Verdana" w:hAnsi="Verdana"/>
          <w:b/>
          <w:bCs/>
          <w:sz w:val="20"/>
        </w:rPr>
        <w:t>Al margen un sello con el Escudo Nacional, que dice: Estados Unidos Mexicanos.- Presidencia de la República.</w:t>
      </w:r>
    </w:p>
    <w:p w:rsidR="00885F3C" w:rsidRPr="00885F3C" w:rsidRDefault="00885F3C" w:rsidP="00885F3C">
      <w:pPr>
        <w:jc w:val="both"/>
        <w:rPr>
          <w:rFonts w:ascii="Verdana" w:hAnsi="Verdana"/>
          <w:sz w:val="20"/>
        </w:rPr>
      </w:pPr>
      <w:r w:rsidRPr="00885F3C">
        <w:rPr>
          <w:rFonts w:ascii="Verdana" w:hAnsi="Verdana"/>
          <w:b/>
          <w:bCs/>
          <w:sz w:val="20"/>
        </w:rPr>
        <w:t>ENRIQUE PEÑA NIETO</w:t>
      </w:r>
      <w:r w:rsidRPr="00885F3C">
        <w:rPr>
          <w:rFonts w:ascii="Verdana" w:hAnsi="Verdana"/>
          <w:sz w:val="20"/>
        </w:rPr>
        <w:t>, Presidente de los Estados Unidos Mexicanos, en ejercicio de la facultad que me confiere el artículo 89, fracción I de la Constitución Política de los Estados Unidos Mexicanos y, con fundamento en los artículos 27, 31, 32, 32 Bis, 33, 34, 35, 36, 37, 38, 39, 40 y 41 de la Ley Orgánica de la Administración Pública Federal y 21 y 34 de la Ley Federal de Zonas Económicas Especiales, he tenido a bien expedir el siguiente</w:t>
      </w:r>
    </w:p>
    <w:p w:rsidR="00885F3C" w:rsidRPr="00885F3C" w:rsidRDefault="00885F3C" w:rsidP="00885F3C">
      <w:pPr>
        <w:jc w:val="both"/>
        <w:rPr>
          <w:rFonts w:ascii="Verdana" w:hAnsi="Verdana"/>
          <w:b/>
          <w:bCs/>
          <w:sz w:val="20"/>
        </w:rPr>
      </w:pPr>
      <w:r w:rsidRPr="00885F3C">
        <w:rPr>
          <w:rFonts w:ascii="Verdana" w:hAnsi="Verdana"/>
          <w:b/>
          <w:bCs/>
          <w:sz w:val="20"/>
        </w:rPr>
        <w:t>DECRETO POR EL QUE SE ADICIONAN DIVERSAS DISPOSICIONES DEL REGLAMENTO DE LA LEY</w:t>
      </w:r>
      <w:r w:rsidRPr="00885F3C">
        <w:rPr>
          <w:rFonts w:ascii="Verdana" w:hAnsi="Verdana"/>
          <w:b/>
          <w:bCs/>
          <w:sz w:val="20"/>
        </w:rPr>
        <w:br/>
        <w:t>FEDERAL DE ZONAS ECONÓMICAS ESPECIALES</w:t>
      </w:r>
    </w:p>
    <w:p w:rsidR="00885F3C" w:rsidRPr="00885F3C" w:rsidRDefault="00885F3C" w:rsidP="00885F3C">
      <w:pPr>
        <w:jc w:val="both"/>
        <w:rPr>
          <w:rFonts w:ascii="Verdana" w:hAnsi="Verdana"/>
          <w:sz w:val="20"/>
        </w:rPr>
      </w:pPr>
      <w:r w:rsidRPr="00885F3C">
        <w:rPr>
          <w:rFonts w:ascii="Verdana" w:hAnsi="Verdana"/>
          <w:b/>
          <w:bCs/>
          <w:sz w:val="20"/>
        </w:rPr>
        <w:t>ARTÍCULO ÚNICO.- </w:t>
      </w:r>
      <w:r w:rsidRPr="00885F3C">
        <w:rPr>
          <w:rFonts w:ascii="Verdana" w:hAnsi="Verdana"/>
          <w:sz w:val="20"/>
        </w:rPr>
        <w:t>Se </w:t>
      </w:r>
      <w:r w:rsidRPr="00885F3C">
        <w:rPr>
          <w:rFonts w:ascii="Verdana" w:hAnsi="Verdana"/>
          <w:b/>
          <w:bCs/>
          <w:sz w:val="20"/>
        </w:rPr>
        <w:t>ADICIONAN</w:t>
      </w:r>
      <w:r w:rsidRPr="00885F3C">
        <w:rPr>
          <w:rFonts w:ascii="Verdana" w:hAnsi="Verdana"/>
          <w:sz w:val="20"/>
        </w:rPr>
        <w:t> la fracción VIII Bis al artículo 67, la fracción I Bis al artículo 72 y la fracción X Bis al artículo 112 del Reglamento de la Ley Federal de Zonas Económicas Especiales, para quedar como sigue:</w:t>
      </w:r>
    </w:p>
    <w:p w:rsidR="00885F3C" w:rsidRPr="00885F3C" w:rsidRDefault="00885F3C" w:rsidP="00885F3C">
      <w:pPr>
        <w:jc w:val="both"/>
        <w:rPr>
          <w:rFonts w:ascii="Verdana" w:hAnsi="Verdana"/>
          <w:sz w:val="20"/>
        </w:rPr>
      </w:pPr>
      <w:r w:rsidRPr="00885F3C">
        <w:rPr>
          <w:rFonts w:ascii="Verdana" w:hAnsi="Verdana"/>
          <w:b/>
          <w:bCs/>
          <w:sz w:val="20"/>
        </w:rPr>
        <w:t>Artículo 67. ...</w:t>
      </w:r>
    </w:p>
    <w:p w:rsidR="00885F3C" w:rsidRPr="00885F3C" w:rsidRDefault="00885F3C" w:rsidP="00885F3C">
      <w:pPr>
        <w:jc w:val="both"/>
        <w:rPr>
          <w:rFonts w:ascii="Verdana" w:hAnsi="Verdana"/>
          <w:sz w:val="20"/>
        </w:rPr>
      </w:pPr>
      <w:r w:rsidRPr="00885F3C">
        <w:rPr>
          <w:rFonts w:ascii="Verdana" w:hAnsi="Verdana"/>
          <w:b/>
          <w:bCs/>
          <w:sz w:val="20"/>
        </w:rPr>
        <w:t>I. </w:t>
      </w:r>
      <w:r w:rsidRPr="00885F3C">
        <w:rPr>
          <w:rFonts w:ascii="Verdana" w:hAnsi="Verdana"/>
          <w:sz w:val="20"/>
        </w:rPr>
        <w:t>a</w:t>
      </w:r>
      <w:r w:rsidRPr="00885F3C">
        <w:rPr>
          <w:rFonts w:ascii="Verdana" w:hAnsi="Verdana"/>
          <w:b/>
          <w:bCs/>
          <w:sz w:val="20"/>
        </w:rPr>
        <w:t> VIII. ...</w:t>
      </w:r>
    </w:p>
    <w:p w:rsidR="00885F3C" w:rsidRPr="00885F3C" w:rsidRDefault="00885F3C" w:rsidP="00885F3C">
      <w:pPr>
        <w:jc w:val="both"/>
        <w:rPr>
          <w:rFonts w:ascii="Verdana" w:hAnsi="Verdana"/>
          <w:sz w:val="20"/>
        </w:rPr>
      </w:pPr>
      <w:r w:rsidRPr="00885F3C">
        <w:rPr>
          <w:rFonts w:ascii="Verdana" w:hAnsi="Verdana"/>
          <w:b/>
          <w:bCs/>
          <w:sz w:val="20"/>
        </w:rPr>
        <w:t>VIII Bis.</w:t>
      </w:r>
      <w:r w:rsidRPr="00885F3C">
        <w:rPr>
          <w:rFonts w:ascii="Verdana" w:hAnsi="Verdana"/>
          <w:sz w:val="20"/>
        </w:rPr>
        <w:t>   La información sobre las Actividades Económicas Productivas que podrán llevarse a cabo en términos del Decreto de Declaratoria de la Zona y las inversiones necesarias para llevarlas a cabo, las cuales deberán cumplir los requisitos siguientes:</w:t>
      </w:r>
    </w:p>
    <w:p w:rsidR="00885F3C" w:rsidRPr="00885F3C" w:rsidRDefault="00885F3C" w:rsidP="00885F3C">
      <w:pPr>
        <w:jc w:val="both"/>
        <w:rPr>
          <w:rFonts w:ascii="Verdana" w:hAnsi="Verdana"/>
          <w:sz w:val="20"/>
        </w:rPr>
      </w:pPr>
      <w:r w:rsidRPr="00885F3C">
        <w:rPr>
          <w:rFonts w:ascii="Verdana" w:hAnsi="Verdana"/>
          <w:b/>
          <w:bCs/>
          <w:sz w:val="20"/>
        </w:rPr>
        <w:t>a)</w:t>
      </w:r>
      <w:r w:rsidRPr="00885F3C">
        <w:rPr>
          <w:rFonts w:ascii="Verdana" w:hAnsi="Verdana"/>
          <w:sz w:val="20"/>
        </w:rPr>
        <w:t>    Se trate en su totalidad de un proyecto de inversiones nuevas, entendidas éstas como los activos fijos, los gastos y cargos diferidos y las erogaciones, conforme a lo establecido en el artículo 32 de la Ley del Impuesto sobre la Renta, que sean utilizados por primera vez en México, excepto tratándose de Infraestructura primaria ya existente en la Zona, correspondiente a la lotificación del terreno, trazado de calles y habilitación de servicios básicos;</w:t>
      </w:r>
    </w:p>
    <w:p w:rsidR="00885F3C" w:rsidRPr="00885F3C" w:rsidRDefault="00885F3C" w:rsidP="00885F3C">
      <w:pPr>
        <w:jc w:val="both"/>
        <w:rPr>
          <w:rFonts w:ascii="Verdana" w:hAnsi="Verdana"/>
          <w:sz w:val="20"/>
        </w:rPr>
      </w:pPr>
      <w:r w:rsidRPr="00885F3C">
        <w:rPr>
          <w:rFonts w:ascii="Verdana" w:hAnsi="Verdana"/>
          <w:b/>
          <w:bCs/>
          <w:sz w:val="20"/>
        </w:rPr>
        <w:t>b)</w:t>
      </w:r>
      <w:r w:rsidRPr="00885F3C">
        <w:rPr>
          <w:rFonts w:ascii="Verdana" w:hAnsi="Verdana"/>
          <w:sz w:val="20"/>
        </w:rPr>
        <w:t>    No implique la reubicación o traslado a la Zona, de inversiones existentes en otras áreas o regiones del país, y</w:t>
      </w:r>
    </w:p>
    <w:p w:rsidR="00885F3C" w:rsidRPr="00885F3C" w:rsidRDefault="00885F3C" w:rsidP="00885F3C">
      <w:pPr>
        <w:jc w:val="both"/>
        <w:rPr>
          <w:rFonts w:ascii="Verdana" w:hAnsi="Verdana"/>
          <w:sz w:val="20"/>
        </w:rPr>
      </w:pPr>
      <w:r w:rsidRPr="00885F3C">
        <w:rPr>
          <w:rFonts w:ascii="Verdana" w:hAnsi="Verdana"/>
          <w:b/>
          <w:bCs/>
          <w:sz w:val="20"/>
        </w:rPr>
        <w:t>c)</w:t>
      </w:r>
      <w:r w:rsidRPr="00885F3C">
        <w:rPr>
          <w:rFonts w:ascii="Verdana" w:hAnsi="Verdana"/>
          <w:sz w:val="20"/>
        </w:rPr>
        <w:t>    Generen niveles óptimos de inversión y empleo consistentes con los objetivos de la Ley.</w:t>
      </w:r>
    </w:p>
    <w:p w:rsidR="00885F3C" w:rsidRPr="00885F3C" w:rsidRDefault="00885F3C" w:rsidP="00885F3C">
      <w:pPr>
        <w:jc w:val="both"/>
        <w:rPr>
          <w:rFonts w:ascii="Verdana" w:hAnsi="Verdana"/>
          <w:sz w:val="20"/>
        </w:rPr>
      </w:pPr>
      <w:r w:rsidRPr="00885F3C">
        <w:rPr>
          <w:rFonts w:ascii="Verdana" w:hAnsi="Verdana"/>
          <w:sz w:val="20"/>
        </w:rPr>
        <w:t>              Para efectos de esta fracción, la Subsecretaría de Ingresos de la Secretaría y el Servicio de Administración Tributaria comunicarán a la Autoridad Federal los criterios conforme a los cuales los Solicitantes podrán acreditar dichos requisitos. La Autoridad Federal deberá incorporar los mencionados criterios en los Lineamientos a que se refiere este artículo;</w:t>
      </w:r>
    </w:p>
    <w:p w:rsidR="00885F3C" w:rsidRPr="00885F3C" w:rsidRDefault="00885F3C" w:rsidP="00885F3C">
      <w:pPr>
        <w:jc w:val="both"/>
        <w:rPr>
          <w:rFonts w:ascii="Verdana" w:hAnsi="Verdana"/>
          <w:sz w:val="20"/>
        </w:rPr>
      </w:pPr>
      <w:r w:rsidRPr="00885F3C">
        <w:rPr>
          <w:rFonts w:ascii="Verdana" w:hAnsi="Verdana"/>
          <w:b/>
          <w:bCs/>
          <w:sz w:val="20"/>
        </w:rPr>
        <w:lastRenderedPageBreak/>
        <w:t>IX. </w:t>
      </w:r>
      <w:r w:rsidRPr="00885F3C">
        <w:rPr>
          <w:rFonts w:ascii="Verdana" w:hAnsi="Verdana"/>
          <w:sz w:val="20"/>
        </w:rPr>
        <w:t>a</w:t>
      </w:r>
      <w:r w:rsidRPr="00885F3C">
        <w:rPr>
          <w:rFonts w:ascii="Verdana" w:hAnsi="Verdana"/>
          <w:b/>
          <w:bCs/>
          <w:sz w:val="20"/>
        </w:rPr>
        <w:t> XIV. ...</w:t>
      </w:r>
    </w:p>
    <w:p w:rsidR="00885F3C" w:rsidRPr="00885F3C" w:rsidRDefault="00885F3C" w:rsidP="00885F3C">
      <w:pPr>
        <w:jc w:val="both"/>
        <w:rPr>
          <w:rFonts w:ascii="Verdana" w:hAnsi="Verdana"/>
          <w:sz w:val="20"/>
        </w:rPr>
      </w:pPr>
      <w:r w:rsidRPr="00885F3C">
        <w:rPr>
          <w:rFonts w:ascii="Verdana" w:hAnsi="Verdana"/>
          <w:b/>
          <w:bCs/>
          <w:sz w:val="20"/>
        </w:rPr>
        <w:t>...</w:t>
      </w:r>
    </w:p>
    <w:p w:rsidR="00885F3C" w:rsidRPr="00885F3C" w:rsidRDefault="00885F3C" w:rsidP="00885F3C">
      <w:pPr>
        <w:jc w:val="both"/>
        <w:rPr>
          <w:rFonts w:ascii="Verdana" w:hAnsi="Verdana"/>
          <w:sz w:val="20"/>
        </w:rPr>
      </w:pPr>
      <w:r w:rsidRPr="00885F3C">
        <w:rPr>
          <w:rFonts w:ascii="Verdana" w:hAnsi="Verdana"/>
          <w:b/>
          <w:bCs/>
          <w:sz w:val="20"/>
        </w:rPr>
        <w:t>...</w:t>
      </w:r>
    </w:p>
    <w:p w:rsidR="00885F3C" w:rsidRPr="00885F3C" w:rsidRDefault="00885F3C" w:rsidP="00885F3C">
      <w:pPr>
        <w:jc w:val="both"/>
        <w:rPr>
          <w:rFonts w:ascii="Verdana" w:hAnsi="Verdana"/>
          <w:sz w:val="20"/>
        </w:rPr>
      </w:pPr>
      <w:r w:rsidRPr="00885F3C">
        <w:rPr>
          <w:rFonts w:ascii="Verdana" w:hAnsi="Verdana"/>
          <w:b/>
          <w:bCs/>
          <w:sz w:val="20"/>
        </w:rPr>
        <w:t>...</w:t>
      </w:r>
    </w:p>
    <w:p w:rsidR="00885F3C" w:rsidRPr="00885F3C" w:rsidRDefault="00885F3C" w:rsidP="00885F3C">
      <w:pPr>
        <w:jc w:val="both"/>
        <w:rPr>
          <w:rFonts w:ascii="Verdana" w:hAnsi="Verdana"/>
          <w:sz w:val="20"/>
        </w:rPr>
      </w:pPr>
      <w:r w:rsidRPr="00885F3C">
        <w:rPr>
          <w:rFonts w:ascii="Verdana" w:hAnsi="Verdana"/>
          <w:b/>
          <w:bCs/>
          <w:sz w:val="20"/>
        </w:rPr>
        <w:t>Artículo 72. ...</w:t>
      </w:r>
    </w:p>
    <w:p w:rsidR="00885F3C" w:rsidRPr="00885F3C" w:rsidRDefault="00885F3C" w:rsidP="00885F3C">
      <w:pPr>
        <w:jc w:val="both"/>
        <w:rPr>
          <w:rFonts w:ascii="Verdana" w:hAnsi="Verdana"/>
          <w:sz w:val="20"/>
        </w:rPr>
      </w:pPr>
      <w:proofErr w:type="gramStart"/>
      <w:r w:rsidRPr="00885F3C">
        <w:rPr>
          <w:rFonts w:ascii="Verdana" w:hAnsi="Verdana"/>
          <w:b/>
          <w:bCs/>
          <w:sz w:val="20"/>
        </w:rPr>
        <w:t>I.</w:t>
      </w:r>
      <w:proofErr w:type="gramEnd"/>
      <w:r w:rsidRPr="00885F3C">
        <w:rPr>
          <w:rFonts w:ascii="Verdana" w:hAnsi="Verdana"/>
          <w:b/>
          <w:bCs/>
          <w:sz w:val="20"/>
        </w:rPr>
        <w:t xml:space="preserve"> ...</w:t>
      </w:r>
    </w:p>
    <w:p w:rsidR="00885F3C" w:rsidRPr="00885F3C" w:rsidRDefault="00885F3C" w:rsidP="00885F3C">
      <w:pPr>
        <w:jc w:val="both"/>
        <w:rPr>
          <w:rFonts w:ascii="Verdana" w:hAnsi="Verdana"/>
          <w:sz w:val="20"/>
        </w:rPr>
      </w:pPr>
      <w:r w:rsidRPr="00885F3C">
        <w:rPr>
          <w:rFonts w:ascii="Verdana" w:hAnsi="Verdana"/>
          <w:b/>
          <w:bCs/>
          <w:sz w:val="20"/>
        </w:rPr>
        <w:t>I Bis.</w:t>
      </w:r>
      <w:r w:rsidRPr="00885F3C">
        <w:rPr>
          <w:rFonts w:ascii="Verdana" w:hAnsi="Verdana"/>
          <w:sz w:val="20"/>
        </w:rPr>
        <w:t>       La opinión favorable de la Subsecretaría de Ingresos de la Secretaría y del Servicio de Administración Tributaria, en el ámbito de sus respectivas competencias, sobre el cumplimiento de los requisitos previstos en el artículo 67, fracción VIII Bis de este Reglamento. Para tal efecto, la Autoridad Federal enviará a dichas autoridades la información correspondiente para que éstas emitan la opinión que corresponda en un plazo máximo de quince días hábiles, contado a partir de que reciban la referida información;</w:t>
      </w:r>
    </w:p>
    <w:p w:rsidR="00885F3C" w:rsidRPr="00885F3C" w:rsidRDefault="00885F3C" w:rsidP="00885F3C">
      <w:pPr>
        <w:jc w:val="both"/>
        <w:rPr>
          <w:rFonts w:ascii="Verdana" w:hAnsi="Verdana"/>
          <w:sz w:val="20"/>
        </w:rPr>
      </w:pPr>
      <w:r w:rsidRPr="00885F3C">
        <w:rPr>
          <w:rFonts w:ascii="Verdana" w:hAnsi="Verdana"/>
          <w:b/>
          <w:bCs/>
          <w:sz w:val="20"/>
        </w:rPr>
        <w:t>II. </w:t>
      </w:r>
      <w:r w:rsidRPr="00885F3C">
        <w:rPr>
          <w:rFonts w:ascii="Verdana" w:hAnsi="Verdana"/>
          <w:sz w:val="20"/>
        </w:rPr>
        <w:t>a</w:t>
      </w:r>
      <w:r w:rsidRPr="00885F3C">
        <w:rPr>
          <w:rFonts w:ascii="Verdana" w:hAnsi="Verdana"/>
          <w:b/>
          <w:bCs/>
          <w:sz w:val="20"/>
        </w:rPr>
        <w:t> XI. ...</w:t>
      </w:r>
    </w:p>
    <w:p w:rsidR="00885F3C" w:rsidRPr="00885F3C" w:rsidRDefault="00885F3C" w:rsidP="00885F3C">
      <w:pPr>
        <w:jc w:val="both"/>
        <w:rPr>
          <w:rFonts w:ascii="Verdana" w:hAnsi="Verdana"/>
          <w:sz w:val="20"/>
        </w:rPr>
      </w:pPr>
      <w:r w:rsidRPr="00885F3C">
        <w:rPr>
          <w:rFonts w:ascii="Verdana" w:hAnsi="Verdana"/>
          <w:b/>
          <w:bCs/>
          <w:sz w:val="20"/>
        </w:rPr>
        <w:t>Artículo 112. ...</w:t>
      </w:r>
    </w:p>
    <w:p w:rsidR="00885F3C" w:rsidRPr="00885F3C" w:rsidRDefault="00885F3C" w:rsidP="00885F3C">
      <w:pPr>
        <w:jc w:val="both"/>
        <w:rPr>
          <w:rFonts w:ascii="Verdana" w:hAnsi="Verdana"/>
          <w:sz w:val="20"/>
        </w:rPr>
      </w:pPr>
      <w:r w:rsidRPr="00885F3C">
        <w:rPr>
          <w:rFonts w:ascii="Verdana" w:hAnsi="Verdana"/>
          <w:b/>
          <w:bCs/>
          <w:sz w:val="20"/>
        </w:rPr>
        <w:t>I. </w:t>
      </w:r>
      <w:r w:rsidRPr="00885F3C">
        <w:rPr>
          <w:rFonts w:ascii="Verdana" w:hAnsi="Verdana"/>
          <w:sz w:val="20"/>
        </w:rPr>
        <w:t>a</w:t>
      </w:r>
      <w:r w:rsidRPr="00885F3C">
        <w:rPr>
          <w:rFonts w:ascii="Verdana" w:hAnsi="Verdana"/>
          <w:b/>
          <w:bCs/>
          <w:sz w:val="20"/>
        </w:rPr>
        <w:t> X</w:t>
      </w:r>
      <w:proofErr w:type="gramStart"/>
      <w:r w:rsidRPr="00885F3C">
        <w:rPr>
          <w:rFonts w:ascii="Verdana" w:hAnsi="Verdana"/>
          <w:b/>
          <w:bCs/>
          <w:sz w:val="20"/>
        </w:rPr>
        <w:t>. ...</w:t>
      </w:r>
      <w:proofErr w:type="gramEnd"/>
    </w:p>
    <w:p w:rsidR="00885F3C" w:rsidRPr="00885F3C" w:rsidRDefault="00885F3C" w:rsidP="00885F3C">
      <w:pPr>
        <w:jc w:val="both"/>
        <w:rPr>
          <w:rFonts w:ascii="Verdana" w:hAnsi="Verdana"/>
          <w:sz w:val="20"/>
        </w:rPr>
      </w:pPr>
      <w:r w:rsidRPr="00885F3C">
        <w:rPr>
          <w:rFonts w:ascii="Verdana" w:hAnsi="Verdana"/>
          <w:b/>
          <w:bCs/>
          <w:sz w:val="20"/>
        </w:rPr>
        <w:t>X Bis.</w:t>
      </w:r>
      <w:r w:rsidRPr="00885F3C">
        <w:rPr>
          <w:rFonts w:ascii="Verdana" w:hAnsi="Verdana"/>
          <w:sz w:val="20"/>
        </w:rPr>
        <w:t>    La opinión favorable del Servicio de Administración Tributaria, conforme a las reglas de carácter</w:t>
      </w:r>
    </w:p>
    <w:p w:rsidR="00885F3C" w:rsidRPr="00885F3C" w:rsidRDefault="00885F3C" w:rsidP="00885F3C">
      <w:pPr>
        <w:jc w:val="both"/>
        <w:rPr>
          <w:rFonts w:ascii="Verdana" w:hAnsi="Verdana"/>
          <w:sz w:val="20"/>
        </w:rPr>
      </w:pPr>
      <w:proofErr w:type="gramStart"/>
      <w:r w:rsidRPr="00885F3C">
        <w:rPr>
          <w:rFonts w:ascii="Verdana" w:hAnsi="Verdana"/>
          <w:sz w:val="20"/>
        </w:rPr>
        <w:t>general</w:t>
      </w:r>
      <w:proofErr w:type="gramEnd"/>
      <w:r w:rsidRPr="00885F3C">
        <w:rPr>
          <w:rFonts w:ascii="Verdana" w:hAnsi="Verdana"/>
          <w:sz w:val="20"/>
        </w:rPr>
        <w:t xml:space="preserve"> que para tal efecto emita dicho órgano administrativo desconcentrado. Para obtener dicha opinión, las empresas deberán demostrar que la Actividad Económica Productiva que pretenden realizar se efectúa en su totalidad mediante inversiones nuevas a que se refiere el artículo 67, fracción VIII Bis, inciso a) del presente Reglamento, que no implica el traslado o reubicación de inversiones existentes en otras áreas o regiones del país y que genera niveles óptimos de inversión y empleo consistentes con los objetivos de la Ley;</w:t>
      </w:r>
    </w:p>
    <w:p w:rsidR="00885F3C" w:rsidRPr="00885F3C" w:rsidRDefault="00885F3C" w:rsidP="00885F3C">
      <w:pPr>
        <w:jc w:val="both"/>
        <w:rPr>
          <w:rFonts w:ascii="Verdana" w:hAnsi="Verdana"/>
          <w:sz w:val="20"/>
        </w:rPr>
      </w:pPr>
      <w:r w:rsidRPr="00885F3C">
        <w:rPr>
          <w:rFonts w:ascii="Verdana" w:hAnsi="Verdana"/>
          <w:b/>
          <w:bCs/>
          <w:sz w:val="20"/>
        </w:rPr>
        <w:t>XI. </w:t>
      </w:r>
      <w:r w:rsidRPr="00885F3C">
        <w:rPr>
          <w:rFonts w:ascii="Verdana" w:hAnsi="Verdana"/>
          <w:sz w:val="20"/>
        </w:rPr>
        <w:t>a</w:t>
      </w:r>
      <w:r w:rsidRPr="00885F3C">
        <w:rPr>
          <w:rFonts w:ascii="Verdana" w:hAnsi="Verdana"/>
          <w:b/>
          <w:bCs/>
          <w:sz w:val="20"/>
        </w:rPr>
        <w:t> XII. ...</w:t>
      </w:r>
    </w:p>
    <w:p w:rsidR="00885F3C" w:rsidRPr="00885F3C" w:rsidRDefault="00885F3C" w:rsidP="00885F3C">
      <w:pPr>
        <w:jc w:val="both"/>
        <w:rPr>
          <w:rFonts w:ascii="Verdana" w:hAnsi="Verdana"/>
          <w:sz w:val="20"/>
        </w:rPr>
      </w:pPr>
      <w:r w:rsidRPr="00885F3C">
        <w:rPr>
          <w:rFonts w:ascii="Verdana" w:hAnsi="Verdana"/>
          <w:b/>
          <w:bCs/>
          <w:sz w:val="20"/>
        </w:rPr>
        <w:t>...</w:t>
      </w:r>
    </w:p>
    <w:p w:rsidR="00885F3C" w:rsidRPr="00885F3C" w:rsidRDefault="00885F3C" w:rsidP="00885F3C">
      <w:pPr>
        <w:jc w:val="both"/>
        <w:rPr>
          <w:rFonts w:ascii="Verdana" w:hAnsi="Verdana"/>
          <w:sz w:val="20"/>
        </w:rPr>
      </w:pPr>
      <w:r w:rsidRPr="00885F3C">
        <w:rPr>
          <w:rFonts w:ascii="Verdana" w:hAnsi="Verdana"/>
          <w:b/>
          <w:bCs/>
          <w:sz w:val="20"/>
        </w:rPr>
        <w:t>...</w:t>
      </w:r>
    </w:p>
    <w:p w:rsidR="00885F3C" w:rsidRPr="00885F3C" w:rsidRDefault="00885F3C" w:rsidP="00885F3C">
      <w:pPr>
        <w:jc w:val="both"/>
        <w:rPr>
          <w:rFonts w:ascii="Verdana" w:hAnsi="Verdana"/>
          <w:b/>
          <w:bCs/>
          <w:sz w:val="20"/>
        </w:rPr>
      </w:pPr>
      <w:r w:rsidRPr="00885F3C">
        <w:rPr>
          <w:rFonts w:ascii="Verdana" w:hAnsi="Verdana"/>
          <w:b/>
          <w:bCs/>
          <w:sz w:val="20"/>
        </w:rPr>
        <w:t>TRANSITORIO</w:t>
      </w:r>
    </w:p>
    <w:p w:rsidR="00885F3C" w:rsidRPr="00885F3C" w:rsidRDefault="00885F3C" w:rsidP="00885F3C">
      <w:pPr>
        <w:jc w:val="both"/>
        <w:rPr>
          <w:rFonts w:ascii="Verdana" w:hAnsi="Verdana"/>
          <w:sz w:val="20"/>
        </w:rPr>
      </w:pPr>
      <w:r w:rsidRPr="00885F3C">
        <w:rPr>
          <w:rFonts w:ascii="Verdana" w:hAnsi="Verdana"/>
          <w:b/>
          <w:bCs/>
          <w:sz w:val="20"/>
        </w:rPr>
        <w:t>Único.- </w:t>
      </w:r>
      <w:r w:rsidRPr="00885F3C">
        <w:rPr>
          <w:rFonts w:ascii="Verdana" w:hAnsi="Verdana"/>
          <w:sz w:val="20"/>
        </w:rPr>
        <w:t>El presente Decreto entrará en vigor al día siguiente de su publicación en el Diario Oficial de la Federación.</w:t>
      </w:r>
    </w:p>
    <w:p w:rsidR="00885F3C" w:rsidRPr="00885F3C" w:rsidRDefault="00885F3C" w:rsidP="00885F3C">
      <w:pPr>
        <w:jc w:val="both"/>
        <w:rPr>
          <w:rFonts w:ascii="Verdana" w:hAnsi="Verdana"/>
          <w:sz w:val="20"/>
        </w:rPr>
      </w:pPr>
      <w:r w:rsidRPr="00885F3C">
        <w:rPr>
          <w:rFonts w:ascii="Verdana" w:hAnsi="Verdana"/>
          <w:sz w:val="20"/>
        </w:rPr>
        <w:t>Dado en la residencia del Poder Ejecutivo Federal, en la Ciudad de México, a veintiocho de septiembre de dos mil diecisiete.-</w:t>
      </w:r>
      <w:r w:rsidRPr="00885F3C">
        <w:rPr>
          <w:rFonts w:ascii="Verdana" w:hAnsi="Verdana"/>
          <w:b/>
          <w:bCs/>
          <w:sz w:val="20"/>
        </w:rPr>
        <w:t>Enrique Peña Nieto</w:t>
      </w:r>
      <w:r w:rsidRPr="00885F3C">
        <w:rPr>
          <w:rFonts w:ascii="Verdana" w:hAnsi="Verdana"/>
          <w:sz w:val="20"/>
        </w:rPr>
        <w:t>.- Rúbrica.- El Secretario de Gobernación, </w:t>
      </w:r>
      <w:r w:rsidRPr="00885F3C">
        <w:rPr>
          <w:rFonts w:ascii="Verdana" w:hAnsi="Verdana"/>
          <w:b/>
          <w:bCs/>
          <w:sz w:val="20"/>
        </w:rPr>
        <w:t>Miguel Ángel Osorio Chong</w:t>
      </w:r>
      <w:r w:rsidRPr="00885F3C">
        <w:rPr>
          <w:rFonts w:ascii="Verdana" w:hAnsi="Verdana"/>
          <w:sz w:val="20"/>
        </w:rPr>
        <w:t xml:space="preserve">.- Rúbrica.- El Secretario de Hacienda y </w:t>
      </w:r>
      <w:r w:rsidRPr="00885F3C">
        <w:rPr>
          <w:rFonts w:ascii="Verdana" w:hAnsi="Verdana"/>
          <w:sz w:val="20"/>
        </w:rPr>
        <w:lastRenderedPageBreak/>
        <w:t>Crédito Público, </w:t>
      </w:r>
      <w:r w:rsidRPr="00885F3C">
        <w:rPr>
          <w:rFonts w:ascii="Verdana" w:hAnsi="Verdana"/>
          <w:b/>
          <w:bCs/>
          <w:sz w:val="20"/>
        </w:rPr>
        <w:t xml:space="preserve">José Antonio </w:t>
      </w:r>
      <w:proofErr w:type="spellStart"/>
      <w:r w:rsidRPr="00885F3C">
        <w:rPr>
          <w:rFonts w:ascii="Verdana" w:hAnsi="Verdana"/>
          <w:b/>
          <w:bCs/>
          <w:sz w:val="20"/>
        </w:rPr>
        <w:t>Meade</w:t>
      </w:r>
      <w:proofErr w:type="spellEnd"/>
      <w:r w:rsidRPr="00885F3C">
        <w:rPr>
          <w:rFonts w:ascii="Verdana" w:hAnsi="Verdana"/>
          <w:b/>
          <w:bCs/>
          <w:sz w:val="20"/>
        </w:rPr>
        <w:t xml:space="preserve"> </w:t>
      </w:r>
      <w:proofErr w:type="spellStart"/>
      <w:r w:rsidRPr="00885F3C">
        <w:rPr>
          <w:rFonts w:ascii="Verdana" w:hAnsi="Verdana"/>
          <w:b/>
          <w:bCs/>
          <w:sz w:val="20"/>
        </w:rPr>
        <w:t>Kuribreña</w:t>
      </w:r>
      <w:proofErr w:type="spellEnd"/>
      <w:r w:rsidRPr="00885F3C">
        <w:rPr>
          <w:rFonts w:ascii="Verdana" w:hAnsi="Verdana"/>
          <w:sz w:val="20"/>
        </w:rPr>
        <w:t>.- Rúbrica.- El Secretario de Desarrollo Social, </w:t>
      </w:r>
      <w:r w:rsidRPr="00885F3C">
        <w:rPr>
          <w:rFonts w:ascii="Verdana" w:hAnsi="Verdana"/>
          <w:b/>
          <w:bCs/>
          <w:sz w:val="20"/>
        </w:rPr>
        <w:t>Luis Enrique Miranda Nava</w:t>
      </w:r>
      <w:r w:rsidRPr="00885F3C">
        <w:rPr>
          <w:rFonts w:ascii="Verdana" w:hAnsi="Verdana"/>
          <w:sz w:val="20"/>
        </w:rPr>
        <w:t>.- Rúbrica.- El Secretario de Medio Ambiente y Recursos Naturales, </w:t>
      </w:r>
      <w:r w:rsidRPr="00885F3C">
        <w:rPr>
          <w:rFonts w:ascii="Verdana" w:hAnsi="Verdana"/>
          <w:b/>
          <w:bCs/>
          <w:sz w:val="20"/>
        </w:rPr>
        <w:t xml:space="preserve">Rafael </w:t>
      </w:r>
      <w:proofErr w:type="spellStart"/>
      <w:r w:rsidRPr="00885F3C">
        <w:rPr>
          <w:rFonts w:ascii="Verdana" w:hAnsi="Verdana"/>
          <w:b/>
          <w:bCs/>
          <w:sz w:val="20"/>
        </w:rPr>
        <w:t>Pacchiano</w:t>
      </w:r>
      <w:proofErr w:type="spellEnd"/>
      <w:r w:rsidRPr="00885F3C">
        <w:rPr>
          <w:rFonts w:ascii="Verdana" w:hAnsi="Verdana"/>
          <w:b/>
          <w:bCs/>
          <w:sz w:val="20"/>
        </w:rPr>
        <w:t xml:space="preserve"> Alamán</w:t>
      </w:r>
      <w:r w:rsidRPr="00885F3C">
        <w:rPr>
          <w:rFonts w:ascii="Verdana" w:hAnsi="Verdana"/>
          <w:sz w:val="20"/>
        </w:rPr>
        <w:t>.- Rúbrica.- El Secretario de Energía, </w:t>
      </w:r>
      <w:r w:rsidRPr="00885F3C">
        <w:rPr>
          <w:rFonts w:ascii="Verdana" w:hAnsi="Verdana"/>
          <w:b/>
          <w:bCs/>
          <w:sz w:val="20"/>
        </w:rPr>
        <w:t>Pedro Joaquín </w:t>
      </w:r>
      <w:proofErr w:type="spellStart"/>
      <w:r w:rsidRPr="00885F3C">
        <w:rPr>
          <w:rFonts w:ascii="Verdana" w:hAnsi="Verdana"/>
          <w:b/>
          <w:bCs/>
          <w:sz w:val="20"/>
        </w:rPr>
        <w:t>Coldwell</w:t>
      </w:r>
      <w:proofErr w:type="spellEnd"/>
      <w:r w:rsidRPr="00885F3C">
        <w:rPr>
          <w:rFonts w:ascii="Verdana" w:hAnsi="Verdana"/>
          <w:sz w:val="20"/>
        </w:rPr>
        <w:t>.- Rúbrica.- El Secretario de Economía, </w:t>
      </w:r>
      <w:r w:rsidRPr="00885F3C">
        <w:rPr>
          <w:rFonts w:ascii="Verdana" w:hAnsi="Verdana"/>
          <w:b/>
          <w:bCs/>
          <w:sz w:val="20"/>
        </w:rPr>
        <w:t>Ildefonso Guajardo Villarreal</w:t>
      </w:r>
      <w:r w:rsidRPr="00885F3C">
        <w:rPr>
          <w:rFonts w:ascii="Verdana" w:hAnsi="Verdana"/>
          <w:sz w:val="20"/>
        </w:rPr>
        <w:t>.- Rúbrica.- El Secretario de Agricultura, Ganadería, Desarrollo Rural, Pesca y Alimentación, </w:t>
      </w:r>
      <w:r w:rsidRPr="00885F3C">
        <w:rPr>
          <w:rFonts w:ascii="Verdana" w:hAnsi="Verdana"/>
          <w:b/>
          <w:bCs/>
          <w:sz w:val="20"/>
        </w:rPr>
        <w:t xml:space="preserve">José Eduardo Calzada </w:t>
      </w:r>
      <w:proofErr w:type="spellStart"/>
      <w:r w:rsidRPr="00885F3C">
        <w:rPr>
          <w:rFonts w:ascii="Verdana" w:hAnsi="Verdana"/>
          <w:b/>
          <w:bCs/>
          <w:sz w:val="20"/>
        </w:rPr>
        <w:t>Rovirosa</w:t>
      </w:r>
      <w:proofErr w:type="spellEnd"/>
      <w:r w:rsidRPr="00885F3C">
        <w:rPr>
          <w:rFonts w:ascii="Verdana" w:hAnsi="Verdana"/>
          <w:sz w:val="20"/>
        </w:rPr>
        <w:t>.- Rúbrica.- El Secretario de Comunicaciones y Transportes, </w:t>
      </w:r>
      <w:r w:rsidRPr="00885F3C">
        <w:rPr>
          <w:rFonts w:ascii="Verdana" w:hAnsi="Verdana"/>
          <w:b/>
          <w:bCs/>
          <w:sz w:val="20"/>
        </w:rPr>
        <w:t>Gerardo Ruiz Esparza</w:t>
      </w:r>
      <w:r w:rsidRPr="00885F3C">
        <w:rPr>
          <w:rFonts w:ascii="Verdana" w:hAnsi="Verdana"/>
          <w:sz w:val="20"/>
        </w:rPr>
        <w:t>.- Rúbrica.- La Secretaria de la Función Pública, </w:t>
      </w:r>
      <w:r w:rsidRPr="00885F3C">
        <w:rPr>
          <w:rFonts w:ascii="Verdana" w:hAnsi="Verdana"/>
          <w:b/>
          <w:bCs/>
          <w:sz w:val="20"/>
        </w:rPr>
        <w:t>Arely Gómez González</w:t>
      </w:r>
      <w:r w:rsidRPr="00885F3C">
        <w:rPr>
          <w:rFonts w:ascii="Verdana" w:hAnsi="Verdana"/>
          <w:sz w:val="20"/>
        </w:rPr>
        <w:t>.- Rúbrica.- El Secretario de Educación Pública, </w:t>
      </w:r>
      <w:r w:rsidRPr="00885F3C">
        <w:rPr>
          <w:rFonts w:ascii="Verdana" w:hAnsi="Verdana"/>
          <w:b/>
          <w:bCs/>
          <w:sz w:val="20"/>
        </w:rPr>
        <w:t>Aurelio Nuño Mayer</w:t>
      </w:r>
      <w:r w:rsidRPr="00885F3C">
        <w:rPr>
          <w:rFonts w:ascii="Verdana" w:hAnsi="Verdana"/>
          <w:sz w:val="20"/>
        </w:rPr>
        <w:t>.- Rúbrica.- El Secretario de Salud, </w:t>
      </w:r>
      <w:r w:rsidRPr="00885F3C">
        <w:rPr>
          <w:rFonts w:ascii="Verdana" w:hAnsi="Verdana"/>
          <w:b/>
          <w:bCs/>
          <w:sz w:val="20"/>
        </w:rPr>
        <w:t>José Ramón Narro Robles</w:t>
      </w:r>
      <w:r w:rsidRPr="00885F3C">
        <w:rPr>
          <w:rFonts w:ascii="Verdana" w:hAnsi="Verdana"/>
          <w:sz w:val="20"/>
        </w:rPr>
        <w:t>.- Rúbrica.- El Secretario del Trabajo y Previsión Social, </w:t>
      </w:r>
      <w:r w:rsidRPr="00885F3C">
        <w:rPr>
          <w:rFonts w:ascii="Verdana" w:hAnsi="Verdana"/>
          <w:b/>
          <w:bCs/>
          <w:sz w:val="20"/>
        </w:rPr>
        <w:t xml:space="preserve">Jesús Alfonso Navarrete </w:t>
      </w:r>
      <w:proofErr w:type="spellStart"/>
      <w:r w:rsidRPr="00885F3C">
        <w:rPr>
          <w:rFonts w:ascii="Verdana" w:hAnsi="Verdana"/>
          <w:b/>
          <w:bCs/>
          <w:sz w:val="20"/>
        </w:rPr>
        <w:t>Prida</w:t>
      </w:r>
      <w:proofErr w:type="spellEnd"/>
      <w:r w:rsidRPr="00885F3C">
        <w:rPr>
          <w:rFonts w:ascii="Verdana" w:hAnsi="Verdana"/>
          <w:sz w:val="20"/>
        </w:rPr>
        <w:t>.- Rúbrica.- La Secretaria de Desarrollo Agrario, Territorial y Urbano, </w:t>
      </w:r>
      <w:r w:rsidRPr="00885F3C">
        <w:rPr>
          <w:rFonts w:ascii="Verdana" w:hAnsi="Verdana"/>
          <w:b/>
          <w:bCs/>
          <w:sz w:val="20"/>
        </w:rPr>
        <w:t>Rosario Robles Berlanga</w:t>
      </w:r>
      <w:r w:rsidRPr="00885F3C">
        <w:rPr>
          <w:rFonts w:ascii="Verdana" w:hAnsi="Verdana"/>
          <w:sz w:val="20"/>
        </w:rPr>
        <w:t>.- Rúbrica.</w:t>
      </w:r>
    </w:p>
    <w:p w:rsidR="00885F3C" w:rsidRPr="00885F3C" w:rsidRDefault="00885F3C" w:rsidP="00885F3C">
      <w:pPr>
        <w:jc w:val="both"/>
        <w:rPr>
          <w:rFonts w:ascii="Verdana" w:hAnsi="Verdana"/>
          <w:sz w:val="20"/>
        </w:rPr>
      </w:pPr>
      <w:bookmarkStart w:id="0" w:name="_GoBack"/>
      <w:bookmarkEnd w:id="0"/>
    </w:p>
    <w:sectPr w:rsidR="00885F3C" w:rsidRPr="00885F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3C"/>
    <w:rsid w:val="002228FA"/>
    <w:rsid w:val="00885F3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088">
      <w:bodyDiv w:val="1"/>
      <w:marLeft w:val="0"/>
      <w:marRight w:val="0"/>
      <w:marTop w:val="0"/>
      <w:marBottom w:val="0"/>
      <w:divBdr>
        <w:top w:val="none" w:sz="0" w:space="0" w:color="auto"/>
        <w:left w:val="none" w:sz="0" w:space="0" w:color="auto"/>
        <w:bottom w:val="none" w:sz="0" w:space="0" w:color="auto"/>
        <w:right w:val="none" w:sz="0" w:space="0" w:color="auto"/>
      </w:divBdr>
      <w:divsChild>
        <w:div w:id="1371026367">
          <w:marLeft w:val="0"/>
          <w:marRight w:val="0"/>
          <w:marTop w:val="0"/>
          <w:marBottom w:val="80"/>
          <w:divBdr>
            <w:top w:val="none" w:sz="0" w:space="0" w:color="auto"/>
            <w:left w:val="none" w:sz="0" w:space="0" w:color="auto"/>
            <w:bottom w:val="none" w:sz="0" w:space="0" w:color="auto"/>
            <w:right w:val="none" w:sz="0" w:space="0" w:color="auto"/>
          </w:divBdr>
        </w:div>
        <w:div w:id="906233364">
          <w:marLeft w:val="0"/>
          <w:marRight w:val="0"/>
          <w:marTop w:val="101"/>
          <w:marBottom w:val="80"/>
          <w:divBdr>
            <w:top w:val="none" w:sz="0" w:space="0" w:color="auto"/>
            <w:left w:val="none" w:sz="0" w:space="0" w:color="auto"/>
            <w:bottom w:val="none" w:sz="0" w:space="0" w:color="auto"/>
            <w:right w:val="none" w:sz="0" w:space="0" w:color="auto"/>
          </w:divBdr>
        </w:div>
        <w:div w:id="1038117180">
          <w:marLeft w:val="0"/>
          <w:marRight w:val="0"/>
          <w:marTop w:val="0"/>
          <w:marBottom w:val="80"/>
          <w:divBdr>
            <w:top w:val="none" w:sz="0" w:space="0" w:color="auto"/>
            <w:left w:val="none" w:sz="0" w:space="0" w:color="auto"/>
            <w:bottom w:val="none" w:sz="0" w:space="0" w:color="auto"/>
            <w:right w:val="none" w:sz="0" w:space="0" w:color="auto"/>
          </w:divBdr>
        </w:div>
        <w:div w:id="1476531713">
          <w:marLeft w:val="0"/>
          <w:marRight w:val="0"/>
          <w:marTop w:val="0"/>
          <w:marBottom w:val="80"/>
          <w:divBdr>
            <w:top w:val="none" w:sz="0" w:space="0" w:color="auto"/>
            <w:left w:val="none" w:sz="0" w:space="0" w:color="auto"/>
            <w:bottom w:val="none" w:sz="0" w:space="0" w:color="auto"/>
            <w:right w:val="none" w:sz="0" w:space="0" w:color="auto"/>
          </w:divBdr>
        </w:div>
        <w:div w:id="618297493">
          <w:marLeft w:val="0"/>
          <w:marRight w:val="0"/>
          <w:marTop w:val="0"/>
          <w:marBottom w:val="80"/>
          <w:divBdr>
            <w:top w:val="none" w:sz="0" w:space="0" w:color="auto"/>
            <w:left w:val="none" w:sz="0" w:space="0" w:color="auto"/>
            <w:bottom w:val="none" w:sz="0" w:space="0" w:color="auto"/>
            <w:right w:val="none" w:sz="0" w:space="0" w:color="auto"/>
          </w:divBdr>
        </w:div>
        <w:div w:id="693923752">
          <w:marLeft w:val="1152"/>
          <w:marRight w:val="0"/>
          <w:marTop w:val="0"/>
          <w:marBottom w:val="80"/>
          <w:divBdr>
            <w:top w:val="none" w:sz="0" w:space="0" w:color="auto"/>
            <w:left w:val="none" w:sz="0" w:space="0" w:color="auto"/>
            <w:bottom w:val="none" w:sz="0" w:space="0" w:color="auto"/>
            <w:right w:val="none" w:sz="0" w:space="0" w:color="auto"/>
          </w:divBdr>
        </w:div>
        <w:div w:id="493953675">
          <w:marLeft w:val="1584"/>
          <w:marRight w:val="0"/>
          <w:marTop w:val="0"/>
          <w:marBottom w:val="80"/>
          <w:divBdr>
            <w:top w:val="none" w:sz="0" w:space="0" w:color="auto"/>
            <w:left w:val="none" w:sz="0" w:space="0" w:color="auto"/>
            <w:bottom w:val="none" w:sz="0" w:space="0" w:color="auto"/>
            <w:right w:val="none" w:sz="0" w:space="0" w:color="auto"/>
          </w:divBdr>
        </w:div>
        <w:div w:id="939526112">
          <w:marLeft w:val="1584"/>
          <w:marRight w:val="0"/>
          <w:marTop w:val="0"/>
          <w:marBottom w:val="101"/>
          <w:divBdr>
            <w:top w:val="none" w:sz="0" w:space="0" w:color="auto"/>
            <w:left w:val="none" w:sz="0" w:space="0" w:color="auto"/>
            <w:bottom w:val="none" w:sz="0" w:space="0" w:color="auto"/>
            <w:right w:val="none" w:sz="0" w:space="0" w:color="auto"/>
          </w:divBdr>
        </w:div>
        <w:div w:id="590047685">
          <w:marLeft w:val="1584"/>
          <w:marRight w:val="0"/>
          <w:marTop w:val="0"/>
          <w:marBottom w:val="101"/>
          <w:divBdr>
            <w:top w:val="none" w:sz="0" w:space="0" w:color="auto"/>
            <w:left w:val="none" w:sz="0" w:space="0" w:color="auto"/>
            <w:bottom w:val="none" w:sz="0" w:space="0" w:color="auto"/>
            <w:right w:val="none" w:sz="0" w:space="0" w:color="auto"/>
          </w:divBdr>
        </w:div>
        <w:div w:id="1351682975">
          <w:marLeft w:val="1152"/>
          <w:marRight w:val="0"/>
          <w:marTop w:val="0"/>
          <w:marBottom w:val="101"/>
          <w:divBdr>
            <w:top w:val="none" w:sz="0" w:space="0" w:color="auto"/>
            <w:left w:val="none" w:sz="0" w:space="0" w:color="auto"/>
            <w:bottom w:val="none" w:sz="0" w:space="0" w:color="auto"/>
            <w:right w:val="none" w:sz="0" w:space="0" w:color="auto"/>
          </w:divBdr>
        </w:div>
        <w:div w:id="1886067574">
          <w:marLeft w:val="0"/>
          <w:marRight w:val="0"/>
          <w:marTop w:val="0"/>
          <w:marBottom w:val="101"/>
          <w:divBdr>
            <w:top w:val="none" w:sz="0" w:space="0" w:color="auto"/>
            <w:left w:val="none" w:sz="0" w:space="0" w:color="auto"/>
            <w:bottom w:val="none" w:sz="0" w:space="0" w:color="auto"/>
            <w:right w:val="none" w:sz="0" w:space="0" w:color="auto"/>
          </w:divBdr>
        </w:div>
        <w:div w:id="437603548">
          <w:marLeft w:val="0"/>
          <w:marRight w:val="0"/>
          <w:marTop w:val="0"/>
          <w:marBottom w:val="101"/>
          <w:divBdr>
            <w:top w:val="none" w:sz="0" w:space="0" w:color="auto"/>
            <w:left w:val="none" w:sz="0" w:space="0" w:color="auto"/>
            <w:bottom w:val="none" w:sz="0" w:space="0" w:color="auto"/>
            <w:right w:val="none" w:sz="0" w:space="0" w:color="auto"/>
          </w:divBdr>
        </w:div>
        <w:div w:id="1166673012">
          <w:marLeft w:val="0"/>
          <w:marRight w:val="0"/>
          <w:marTop w:val="0"/>
          <w:marBottom w:val="101"/>
          <w:divBdr>
            <w:top w:val="none" w:sz="0" w:space="0" w:color="auto"/>
            <w:left w:val="none" w:sz="0" w:space="0" w:color="auto"/>
            <w:bottom w:val="none" w:sz="0" w:space="0" w:color="auto"/>
            <w:right w:val="none" w:sz="0" w:space="0" w:color="auto"/>
          </w:divBdr>
        </w:div>
        <w:div w:id="1825706018">
          <w:marLeft w:val="0"/>
          <w:marRight w:val="0"/>
          <w:marTop w:val="0"/>
          <w:marBottom w:val="101"/>
          <w:divBdr>
            <w:top w:val="none" w:sz="0" w:space="0" w:color="auto"/>
            <w:left w:val="none" w:sz="0" w:space="0" w:color="auto"/>
            <w:bottom w:val="none" w:sz="0" w:space="0" w:color="auto"/>
            <w:right w:val="none" w:sz="0" w:space="0" w:color="auto"/>
          </w:divBdr>
        </w:div>
        <w:div w:id="112722545">
          <w:marLeft w:val="0"/>
          <w:marRight w:val="0"/>
          <w:marTop w:val="0"/>
          <w:marBottom w:val="101"/>
          <w:divBdr>
            <w:top w:val="none" w:sz="0" w:space="0" w:color="auto"/>
            <w:left w:val="none" w:sz="0" w:space="0" w:color="auto"/>
            <w:bottom w:val="none" w:sz="0" w:space="0" w:color="auto"/>
            <w:right w:val="none" w:sz="0" w:space="0" w:color="auto"/>
          </w:divBdr>
        </w:div>
        <w:div w:id="1148084756">
          <w:marLeft w:val="0"/>
          <w:marRight w:val="0"/>
          <w:marTop w:val="0"/>
          <w:marBottom w:val="101"/>
          <w:divBdr>
            <w:top w:val="none" w:sz="0" w:space="0" w:color="auto"/>
            <w:left w:val="none" w:sz="0" w:space="0" w:color="auto"/>
            <w:bottom w:val="none" w:sz="0" w:space="0" w:color="auto"/>
            <w:right w:val="none" w:sz="0" w:space="0" w:color="auto"/>
          </w:divBdr>
        </w:div>
        <w:div w:id="775712618">
          <w:marLeft w:val="1152"/>
          <w:marRight w:val="0"/>
          <w:marTop w:val="0"/>
          <w:marBottom w:val="101"/>
          <w:divBdr>
            <w:top w:val="none" w:sz="0" w:space="0" w:color="auto"/>
            <w:left w:val="none" w:sz="0" w:space="0" w:color="auto"/>
            <w:bottom w:val="none" w:sz="0" w:space="0" w:color="auto"/>
            <w:right w:val="none" w:sz="0" w:space="0" w:color="auto"/>
          </w:divBdr>
        </w:div>
        <w:div w:id="1446314828">
          <w:marLeft w:val="0"/>
          <w:marRight w:val="0"/>
          <w:marTop w:val="0"/>
          <w:marBottom w:val="101"/>
          <w:divBdr>
            <w:top w:val="none" w:sz="0" w:space="0" w:color="auto"/>
            <w:left w:val="none" w:sz="0" w:space="0" w:color="auto"/>
            <w:bottom w:val="none" w:sz="0" w:space="0" w:color="auto"/>
            <w:right w:val="none" w:sz="0" w:space="0" w:color="auto"/>
          </w:divBdr>
        </w:div>
        <w:div w:id="128207803">
          <w:marLeft w:val="0"/>
          <w:marRight w:val="0"/>
          <w:marTop w:val="0"/>
          <w:marBottom w:val="101"/>
          <w:divBdr>
            <w:top w:val="none" w:sz="0" w:space="0" w:color="auto"/>
            <w:left w:val="none" w:sz="0" w:space="0" w:color="auto"/>
            <w:bottom w:val="none" w:sz="0" w:space="0" w:color="auto"/>
            <w:right w:val="none" w:sz="0" w:space="0" w:color="auto"/>
          </w:divBdr>
        </w:div>
        <w:div w:id="1945309458">
          <w:marLeft w:val="0"/>
          <w:marRight w:val="0"/>
          <w:marTop w:val="0"/>
          <w:marBottom w:val="101"/>
          <w:divBdr>
            <w:top w:val="none" w:sz="0" w:space="0" w:color="auto"/>
            <w:left w:val="none" w:sz="0" w:space="0" w:color="auto"/>
            <w:bottom w:val="none" w:sz="0" w:space="0" w:color="auto"/>
            <w:right w:val="none" w:sz="0" w:space="0" w:color="auto"/>
          </w:divBdr>
        </w:div>
        <w:div w:id="2120097196">
          <w:marLeft w:val="1008"/>
          <w:marRight w:val="0"/>
          <w:marTop w:val="0"/>
          <w:marBottom w:val="101"/>
          <w:divBdr>
            <w:top w:val="none" w:sz="0" w:space="0" w:color="auto"/>
            <w:left w:val="none" w:sz="0" w:space="0" w:color="auto"/>
            <w:bottom w:val="none" w:sz="0" w:space="0" w:color="auto"/>
            <w:right w:val="none" w:sz="0" w:space="0" w:color="auto"/>
          </w:divBdr>
        </w:div>
        <w:div w:id="1365449002">
          <w:marLeft w:val="1008"/>
          <w:marRight w:val="0"/>
          <w:marTop w:val="0"/>
          <w:marBottom w:val="101"/>
          <w:divBdr>
            <w:top w:val="none" w:sz="0" w:space="0" w:color="auto"/>
            <w:left w:val="none" w:sz="0" w:space="0" w:color="auto"/>
            <w:bottom w:val="none" w:sz="0" w:space="0" w:color="auto"/>
            <w:right w:val="none" w:sz="0" w:space="0" w:color="auto"/>
          </w:divBdr>
        </w:div>
        <w:div w:id="2010520694">
          <w:marLeft w:val="0"/>
          <w:marRight w:val="0"/>
          <w:marTop w:val="0"/>
          <w:marBottom w:val="101"/>
          <w:divBdr>
            <w:top w:val="none" w:sz="0" w:space="0" w:color="auto"/>
            <w:left w:val="none" w:sz="0" w:space="0" w:color="auto"/>
            <w:bottom w:val="none" w:sz="0" w:space="0" w:color="auto"/>
            <w:right w:val="none" w:sz="0" w:space="0" w:color="auto"/>
          </w:divBdr>
        </w:div>
        <w:div w:id="1594168438">
          <w:marLeft w:val="0"/>
          <w:marRight w:val="0"/>
          <w:marTop w:val="0"/>
          <w:marBottom w:val="101"/>
          <w:divBdr>
            <w:top w:val="none" w:sz="0" w:space="0" w:color="auto"/>
            <w:left w:val="none" w:sz="0" w:space="0" w:color="auto"/>
            <w:bottom w:val="none" w:sz="0" w:space="0" w:color="auto"/>
            <w:right w:val="none" w:sz="0" w:space="0" w:color="auto"/>
          </w:divBdr>
        </w:div>
        <w:div w:id="2021347187">
          <w:marLeft w:val="0"/>
          <w:marRight w:val="0"/>
          <w:marTop w:val="0"/>
          <w:marBottom w:val="101"/>
          <w:divBdr>
            <w:top w:val="none" w:sz="0" w:space="0" w:color="auto"/>
            <w:left w:val="none" w:sz="0" w:space="0" w:color="auto"/>
            <w:bottom w:val="none" w:sz="0" w:space="0" w:color="auto"/>
            <w:right w:val="none" w:sz="0" w:space="0" w:color="auto"/>
          </w:divBdr>
        </w:div>
        <w:div w:id="208886522">
          <w:marLeft w:val="0"/>
          <w:marRight w:val="0"/>
          <w:marTop w:val="101"/>
          <w:marBottom w:val="101"/>
          <w:divBdr>
            <w:top w:val="none" w:sz="0" w:space="0" w:color="auto"/>
            <w:left w:val="none" w:sz="0" w:space="0" w:color="auto"/>
            <w:bottom w:val="none" w:sz="0" w:space="0" w:color="auto"/>
            <w:right w:val="none" w:sz="0" w:space="0" w:color="auto"/>
          </w:divBdr>
        </w:div>
        <w:div w:id="1565722256">
          <w:marLeft w:val="0"/>
          <w:marRight w:val="0"/>
          <w:marTop w:val="0"/>
          <w:marBottom w:val="101"/>
          <w:divBdr>
            <w:top w:val="none" w:sz="0" w:space="0" w:color="auto"/>
            <w:left w:val="none" w:sz="0" w:space="0" w:color="auto"/>
            <w:bottom w:val="none" w:sz="0" w:space="0" w:color="auto"/>
            <w:right w:val="none" w:sz="0" w:space="0" w:color="auto"/>
          </w:divBdr>
        </w:div>
        <w:div w:id="1252085599">
          <w:marLeft w:val="0"/>
          <w:marRight w:val="0"/>
          <w:marTop w:val="0"/>
          <w:marBottom w:val="101"/>
          <w:divBdr>
            <w:top w:val="none" w:sz="0" w:space="0" w:color="auto"/>
            <w:left w:val="none" w:sz="0" w:space="0" w:color="auto"/>
            <w:bottom w:val="none" w:sz="0" w:space="0" w:color="auto"/>
            <w:right w:val="none" w:sz="0" w:space="0" w:color="auto"/>
          </w:divBdr>
        </w:div>
      </w:divsChild>
    </w:div>
    <w:div w:id="362175226">
      <w:bodyDiv w:val="1"/>
      <w:marLeft w:val="0"/>
      <w:marRight w:val="0"/>
      <w:marTop w:val="0"/>
      <w:marBottom w:val="0"/>
      <w:divBdr>
        <w:top w:val="none" w:sz="0" w:space="0" w:color="auto"/>
        <w:left w:val="none" w:sz="0" w:space="0" w:color="auto"/>
        <w:bottom w:val="none" w:sz="0" w:space="0" w:color="auto"/>
        <w:right w:val="none" w:sz="0" w:space="0" w:color="auto"/>
      </w:divBdr>
    </w:div>
    <w:div w:id="2033140769">
      <w:bodyDiv w:val="1"/>
      <w:marLeft w:val="0"/>
      <w:marRight w:val="0"/>
      <w:marTop w:val="0"/>
      <w:marBottom w:val="0"/>
      <w:divBdr>
        <w:top w:val="none" w:sz="0" w:space="0" w:color="auto"/>
        <w:left w:val="none" w:sz="0" w:space="0" w:color="auto"/>
        <w:bottom w:val="none" w:sz="0" w:space="0" w:color="auto"/>
        <w:right w:val="none" w:sz="0" w:space="0" w:color="auto"/>
      </w:divBdr>
      <w:divsChild>
        <w:div w:id="243806167">
          <w:marLeft w:val="0"/>
          <w:marRight w:val="0"/>
          <w:marTop w:val="0"/>
          <w:marBottom w:val="80"/>
          <w:divBdr>
            <w:top w:val="none" w:sz="0" w:space="0" w:color="auto"/>
            <w:left w:val="none" w:sz="0" w:space="0" w:color="auto"/>
            <w:bottom w:val="none" w:sz="0" w:space="0" w:color="auto"/>
            <w:right w:val="none" w:sz="0" w:space="0" w:color="auto"/>
          </w:divBdr>
        </w:div>
        <w:div w:id="1785031695">
          <w:marLeft w:val="0"/>
          <w:marRight w:val="0"/>
          <w:marTop w:val="101"/>
          <w:marBottom w:val="80"/>
          <w:divBdr>
            <w:top w:val="none" w:sz="0" w:space="0" w:color="auto"/>
            <w:left w:val="none" w:sz="0" w:space="0" w:color="auto"/>
            <w:bottom w:val="none" w:sz="0" w:space="0" w:color="auto"/>
            <w:right w:val="none" w:sz="0" w:space="0" w:color="auto"/>
          </w:divBdr>
        </w:div>
        <w:div w:id="362441175">
          <w:marLeft w:val="0"/>
          <w:marRight w:val="0"/>
          <w:marTop w:val="0"/>
          <w:marBottom w:val="80"/>
          <w:divBdr>
            <w:top w:val="none" w:sz="0" w:space="0" w:color="auto"/>
            <w:left w:val="none" w:sz="0" w:space="0" w:color="auto"/>
            <w:bottom w:val="none" w:sz="0" w:space="0" w:color="auto"/>
            <w:right w:val="none" w:sz="0" w:space="0" w:color="auto"/>
          </w:divBdr>
        </w:div>
        <w:div w:id="64038560">
          <w:marLeft w:val="0"/>
          <w:marRight w:val="0"/>
          <w:marTop w:val="0"/>
          <w:marBottom w:val="80"/>
          <w:divBdr>
            <w:top w:val="none" w:sz="0" w:space="0" w:color="auto"/>
            <w:left w:val="none" w:sz="0" w:space="0" w:color="auto"/>
            <w:bottom w:val="none" w:sz="0" w:space="0" w:color="auto"/>
            <w:right w:val="none" w:sz="0" w:space="0" w:color="auto"/>
          </w:divBdr>
        </w:div>
        <w:div w:id="1395472921">
          <w:marLeft w:val="0"/>
          <w:marRight w:val="0"/>
          <w:marTop w:val="0"/>
          <w:marBottom w:val="80"/>
          <w:divBdr>
            <w:top w:val="none" w:sz="0" w:space="0" w:color="auto"/>
            <w:left w:val="none" w:sz="0" w:space="0" w:color="auto"/>
            <w:bottom w:val="none" w:sz="0" w:space="0" w:color="auto"/>
            <w:right w:val="none" w:sz="0" w:space="0" w:color="auto"/>
          </w:divBdr>
        </w:div>
        <w:div w:id="1858347723">
          <w:marLeft w:val="1152"/>
          <w:marRight w:val="0"/>
          <w:marTop w:val="0"/>
          <w:marBottom w:val="80"/>
          <w:divBdr>
            <w:top w:val="none" w:sz="0" w:space="0" w:color="auto"/>
            <w:left w:val="none" w:sz="0" w:space="0" w:color="auto"/>
            <w:bottom w:val="none" w:sz="0" w:space="0" w:color="auto"/>
            <w:right w:val="none" w:sz="0" w:space="0" w:color="auto"/>
          </w:divBdr>
        </w:div>
        <w:div w:id="1716083289">
          <w:marLeft w:val="1584"/>
          <w:marRight w:val="0"/>
          <w:marTop w:val="0"/>
          <w:marBottom w:val="80"/>
          <w:divBdr>
            <w:top w:val="none" w:sz="0" w:space="0" w:color="auto"/>
            <w:left w:val="none" w:sz="0" w:space="0" w:color="auto"/>
            <w:bottom w:val="none" w:sz="0" w:space="0" w:color="auto"/>
            <w:right w:val="none" w:sz="0" w:space="0" w:color="auto"/>
          </w:divBdr>
        </w:div>
        <w:div w:id="867108052">
          <w:marLeft w:val="1584"/>
          <w:marRight w:val="0"/>
          <w:marTop w:val="0"/>
          <w:marBottom w:val="101"/>
          <w:divBdr>
            <w:top w:val="none" w:sz="0" w:space="0" w:color="auto"/>
            <w:left w:val="none" w:sz="0" w:space="0" w:color="auto"/>
            <w:bottom w:val="none" w:sz="0" w:space="0" w:color="auto"/>
            <w:right w:val="none" w:sz="0" w:space="0" w:color="auto"/>
          </w:divBdr>
        </w:div>
        <w:div w:id="1204832970">
          <w:marLeft w:val="1584"/>
          <w:marRight w:val="0"/>
          <w:marTop w:val="0"/>
          <w:marBottom w:val="101"/>
          <w:divBdr>
            <w:top w:val="none" w:sz="0" w:space="0" w:color="auto"/>
            <w:left w:val="none" w:sz="0" w:space="0" w:color="auto"/>
            <w:bottom w:val="none" w:sz="0" w:space="0" w:color="auto"/>
            <w:right w:val="none" w:sz="0" w:space="0" w:color="auto"/>
          </w:divBdr>
        </w:div>
        <w:div w:id="945842920">
          <w:marLeft w:val="1152"/>
          <w:marRight w:val="0"/>
          <w:marTop w:val="0"/>
          <w:marBottom w:val="101"/>
          <w:divBdr>
            <w:top w:val="none" w:sz="0" w:space="0" w:color="auto"/>
            <w:left w:val="none" w:sz="0" w:space="0" w:color="auto"/>
            <w:bottom w:val="none" w:sz="0" w:space="0" w:color="auto"/>
            <w:right w:val="none" w:sz="0" w:space="0" w:color="auto"/>
          </w:divBdr>
        </w:div>
        <w:div w:id="1701667869">
          <w:marLeft w:val="0"/>
          <w:marRight w:val="0"/>
          <w:marTop w:val="0"/>
          <w:marBottom w:val="101"/>
          <w:divBdr>
            <w:top w:val="none" w:sz="0" w:space="0" w:color="auto"/>
            <w:left w:val="none" w:sz="0" w:space="0" w:color="auto"/>
            <w:bottom w:val="none" w:sz="0" w:space="0" w:color="auto"/>
            <w:right w:val="none" w:sz="0" w:space="0" w:color="auto"/>
          </w:divBdr>
        </w:div>
        <w:div w:id="1541895075">
          <w:marLeft w:val="0"/>
          <w:marRight w:val="0"/>
          <w:marTop w:val="0"/>
          <w:marBottom w:val="101"/>
          <w:divBdr>
            <w:top w:val="none" w:sz="0" w:space="0" w:color="auto"/>
            <w:left w:val="none" w:sz="0" w:space="0" w:color="auto"/>
            <w:bottom w:val="none" w:sz="0" w:space="0" w:color="auto"/>
            <w:right w:val="none" w:sz="0" w:space="0" w:color="auto"/>
          </w:divBdr>
        </w:div>
        <w:div w:id="1729768028">
          <w:marLeft w:val="0"/>
          <w:marRight w:val="0"/>
          <w:marTop w:val="0"/>
          <w:marBottom w:val="101"/>
          <w:divBdr>
            <w:top w:val="none" w:sz="0" w:space="0" w:color="auto"/>
            <w:left w:val="none" w:sz="0" w:space="0" w:color="auto"/>
            <w:bottom w:val="none" w:sz="0" w:space="0" w:color="auto"/>
            <w:right w:val="none" w:sz="0" w:space="0" w:color="auto"/>
          </w:divBdr>
        </w:div>
        <w:div w:id="250820422">
          <w:marLeft w:val="0"/>
          <w:marRight w:val="0"/>
          <w:marTop w:val="0"/>
          <w:marBottom w:val="101"/>
          <w:divBdr>
            <w:top w:val="none" w:sz="0" w:space="0" w:color="auto"/>
            <w:left w:val="none" w:sz="0" w:space="0" w:color="auto"/>
            <w:bottom w:val="none" w:sz="0" w:space="0" w:color="auto"/>
            <w:right w:val="none" w:sz="0" w:space="0" w:color="auto"/>
          </w:divBdr>
        </w:div>
        <w:div w:id="599945814">
          <w:marLeft w:val="0"/>
          <w:marRight w:val="0"/>
          <w:marTop w:val="0"/>
          <w:marBottom w:val="101"/>
          <w:divBdr>
            <w:top w:val="none" w:sz="0" w:space="0" w:color="auto"/>
            <w:left w:val="none" w:sz="0" w:space="0" w:color="auto"/>
            <w:bottom w:val="none" w:sz="0" w:space="0" w:color="auto"/>
            <w:right w:val="none" w:sz="0" w:space="0" w:color="auto"/>
          </w:divBdr>
        </w:div>
        <w:div w:id="16809008">
          <w:marLeft w:val="0"/>
          <w:marRight w:val="0"/>
          <w:marTop w:val="0"/>
          <w:marBottom w:val="101"/>
          <w:divBdr>
            <w:top w:val="none" w:sz="0" w:space="0" w:color="auto"/>
            <w:left w:val="none" w:sz="0" w:space="0" w:color="auto"/>
            <w:bottom w:val="none" w:sz="0" w:space="0" w:color="auto"/>
            <w:right w:val="none" w:sz="0" w:space="0" w:color="auto"/>
          </w:divBdr>
        </w:div>
        <w:div w:id="1569458029">
          <w:marLeft w:val="1152"/>
          <w:marRight w:val="0"/>
          <w:marTop w:val="0"/>
          <w:marBottom w:val="101"/>
          <w:divBdr>
            <w:top w:val="none" w:sz="0" w:space="0" w:color="auto"/>
            <w:left w:val="none" w:sz="0" w:space="0" w:color="auto"/>
            <w:bottom w:val="none" w:sz="0" w:space="0" w:color="auto"/>
            <w:right w:val="none" w:sz="0" w:space="0" w:color="auto"/>
          </w:divBdr>
        </w:div>
        <w:div w:id="1943292716">
          <w:marLeft w:val="0"/>
          <w:marRight w:val="0"/>
          <w:marTop w:val="0"/>
          <w:marBottom w:val="101"/>
          <w:divBdr>
            <w:top w:val="none" w:sz="0" w:space="0" w:color="auto"/>
            <w:left w:val="none" w:sz="0" w:space="0" w:color="auto"/>
            <w:bottom w:val="none" w:sz="0" w:space="0" w:color="auto"/>
            <w:right w:val="none" w:sz="0" w:space="0" w:color="auto"/>
          </w:divBdr>
        </w:div>
        <w:div w:id="1949199445">
          <w:marLeft w:val="0"/>
          <w:marRight w:val="0"/>
          <w:marTop w:val="0"/>
          <w:marBottom w:val="101"/>
          <w:divBdr>
            <w:top w:val="none" w:sz="0" w:space="0" w:color="auto"/>
            <w:left w:val="none" w:sz="0" w:space="0" w:color="auto"/>
            <w:bottom w:val="none" w:sz="0" w:space="0" w:color="auto"/>
            <w:right w:val="none" w:sz="0" w:space="0" w:color="auto"/>
          </w:divBdr>
        </w:div>
        <w:div w:id="351346477">
          <w:marLeft w:val="0"/>
          <w:marRight w:val="0"/>
          <w:marTop w:val="0"/>
          <w:marBottom w:val="101"/>
          <w:divBdr>
            <w:top w:val="none" w:sz="0" w:space="0" w:color="auto"/>
            <w:left w:val="none" w:sz="0" w:space="0" w:color="auto"/>
            <w:bottom w:val="none" w:sz="0" w:space="0" w:color="auto"/>
            <w:right w:val="none" w:sz="0" w:space="0" w:color="auto"/>
          </w:divBdr>
        </w:div>
        <w:div w:id="492448690">
          <w:marLeft w:val="1008"/>
          <w:marRight w:val="0"/>
          <w:marTop w:val="0"/>
          <w:marBottom w:val="101"/>
          <w:divBdr>
            <w:top w:val="none" w:sz="0" w:space="0" w:color="auto"/>
            <w:left w:val="none" w:sz="0" w:space="0" w:color="auto"/>
            <w:bottom w:val="none" w:sz="0" w:space="0" w:color="auto"/>
            <w:right w:val="none" w:sz="0" w:space="0" w:color="auto"/>
          </w:divBdr>
        </w:div>
        <w:div w:id="1789086797">
          <w:marLeft w:val="1008"/>
          <w:marRight w:val="0"/>
          <w:marTop w:val="0"/>
          <w:marBottom w:val="101"/>
          <w:divBdr>
            <w:top w:val="none" w:sz="0" w:space="0" w:color="auto"/>
            <w:left w:val="none" w:sz="0" w:space="0" w:color="auto"/>
            <w:bottom w:val="none" w:sz="0" w:space="0" w:color="auto"/>
            <w:right w:val="none" w:sz="0" w:space="0" w:color="auto"/>
          </w:divBdr>
        </w:div>
        <w:div w:id="844788853">
          <w:marLeft w:val="0"/>
          <w:marRight w:val="0"/>
          <w:marTop w:val="0"/>
          <w:marBottom w:val="101"/>
          <w:divBdr>
            <w:top w:val="none" w:sz="0" w:space="0" w:color="auto"/>
            <w:left w:val="none" w:sz="0" w:space="0" w:color="auto"/>
            <w:bottom w:val="none" w:sz="0" w:space="0" w:color="auto"/>
            <w:right w:val="none" w:sz="0" w:space="0" w:color="auto"/>
          </w:divBdr>
        </w:div>
        <w:div w:id="1711877451">
          <w:marLeft w:val="0"/>
          <w:marRight w:val="0"/>
          <w:marTop w:val="0"/>
          <w:marBottom w:val="101"/>
          <w:divBdr>
            <w:top w:val="none" w:sz="0" w:space="0" w:color="auto"/>
            <w:left w:val="none" w:sz="0" w:space="0" w:color="auto"/>
            <w:bottom w:val="none" w:sz="0" w:space="0" w:color="auto"/>
            <w:right w:val="none" w:sz="0" w:space="0" w:color="auto"/>
          </w:divBdr>
        </w:div>
        <w:div w:id="899755069">
          <w:marLeft w:val="0"/>
          <w:marRight w:val="0"/>
          <w:marTop w:val="0"/>
          <w:marBottom w:val="101"/>
          <w:divBdr>
            <w:top w:val="none" w:sz="0" w:space="0" w:color="auto"/>
            <w:left w:val="none" w:sz="0" w:space="0" w:color="auto"/>
            <w:bottom w:val="none" w:sz="0" w:space="0" w:color="auto"/>
            <w:right w:val="none" w:sz="0" w:space="0" w:color="auto"/>
          </w:divBdr>
        </w:div>
        <w:div w:id="647825775">
          <w:marLeft w:val="0"/>
          <w:marRight w:val="0"/>
          <w:marTop w:val="101"/>
          <w:marBottom w:val="101"/>
          <w:divBdr>
            <w:top w:val="none" w:sz="0" w:space="0" w:color="auto"/>
            <w:left w:val="none" w:sz="0" w:space="0" w:color="auto"/>
            <w:bottom w:val="none" w:sz="0" w:space="0" w:color="auto"/>
            <w:right w:val="none" w:sz="0" w:space="0" w:color="auto"/>
          </w:divBdr>
        </w:div>
        <w:div w:id="1878855636">
          <w:marLeft w:val="0"/>
          <w:marRight w:val="0"/>
          <w:marTop w:val="0"/>
          <w:marBottom w:val="101"/>
          <w:divBdr>
            <w:top w:val="none" w:sz="0" w:space="0" w:color="auto"/>
            <w:left w:val="none" w:sz="0" w:space="0" w:color="auto"/>
            <w:bottom w:val="none" w:sz="0" w:space="0" w:color="auto"/>
            <w:right w:val="none" w:sz="0" w:space="0" w:color="auto"/>
          </w:divBdr>
        </w:div>
        <w:div w:id="13834818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2017-09-29T14:23:00Z</dcterms:created>
  <dcterms:modified xsi:type="dcterms:W3CDTF">2017-09-29T14:24:00Z</dcterms:modified>
</cp:coreProperties>
</file>