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88" w:rsidRPr="008A3D88" w:rsidRDefault="008A3D88" w:rsidP="008A3D88">
      <w:pPr>
        <w:jc w:val="center"/>
        <w:rPr>
          <w:rFonts w:ascii="Verdana" w:hAnsi="Verdana"/>
          <w:b/>
          <w:bCs/>
          <w:color w:val="0070C0"/>
          <w:sz w:val="24"/>
        </w:rPr>
      </w:pPr>
      <w:r w:rsidRPr="008A3D88">
        <w:rPr>
          <w:rFonts w:ascii="Verdana" w:hAnsi="Verdana"/>
          <w:b/>
          <w:bCs/>
          <w:color w:val="0070C0"/>
          <w:sz w:val="24"/>
        </w:rPr>
        <w:t>Administración pública de la Ciudad de México</w:t>
      </w:r>
    </w:p>
    <w:p w:rsidR="00BF3AEB" w:rsidRDefault="008A3D88" w:rsidP="008A3D88">
      <w:pPr>
        <w:jc w:val="center"/>
        <w:rPr>
          <w:rFonts w:ascii="Verdana" w:hAnsi="Verdana"/>
          <w:b/>
          <w:bCs/>
          <w:color w:val="0070C0"/>
          <w:sz w:val="24"/>
        </w:rPr>
      </w:pPr>
      <w:r w:rsidRPr="008A3D88">
        <w:rPr>
          <w:rFonts w:ascii="Verdana" w:hAnsi="Verdana"/>
          <w:b/>
          <w:bCs/>
          <w:color w:val="0070C0"/>
          <w:sz w:val="24"/>
        </w:rPr>
        <w:t>Resolución de carácter general por la que se condona el pago del impuesto sobre Tenencia o uso de vehículos</w:t>
      </w:r>
    </w:p>
    <w:p w:rsidR="008A3D88" w:rsidRDefault="008A3D88" w:rsidP="008A3D88">
      <w:pPr>
        <w:jc w:val="center"/>
        <w:rPr>
          <w:rFonts w:ascii="Verdana" w:hAnsi="Verdana"/>
          <w:b/>
          <w:bCs/>
          <w:color w:val="0070C0"/>
          <w:sz w:val="24"/>
        </w:rPr>
      </w:pPr>
      <w:bookmarkStart w:id="0" w:name="_GoBack"/>
      <w:r>
        <w:rPr>
          <w:rFonts w:ascii="Verdana" w:hAnsi="Verdana"/>
          <w:b/>
          <w:bCs/>
          <w:color w:val="0070C0"/>
          <w:sz w:val="24"/>
        </w:rPr>
        <w:t>(Gaceta de la CDMX del 3 de abril de 2019)</w:t>
      </w:r>
    </w:p>
    <w:bookmarkEnd w:id="0"/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DRA. CLAUDIA SHEINBAUM PARDO, </w:t>
      </w:r>
      <w:r w:rsidRPr="008A3D88">
        <w:rPr>
          <w:rFonts w:ascii="Verdana" w:hAnsi="Verdana"/>
          <w:sz w:val="20"/>
        </w:rPr>
        <w:t>Jefa de Gobierno de la Ciudad de México, en ejercicio de la facultad que me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confiere el artículo 44, fracción I del Código Fiscal de la Ciudad de México y con fundamento en lo dispuesto por los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artículos 31, fracción IV y 122, apartado A, base III, de la Constitución Política de los Estados Unidos Mexicanos; 3°, 21,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apartados A y B, 32, apartado A, numeral 1 y apartado C, numeral 1, inciso a) y q), 33, numeral 1, de la Constitución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Política de la Ciudad de México; 1°, 2°, 7°, 12, 16, fracción II, 20, fracción IX, 21, párrafo primero y 27, fracciones V, VIII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y XLIX de la Ley Orgánica del Poder Ejecutivo y de la Administración Pública de la Ciudad de México; 6°, 7°, fracciones I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y II, 9°, fracción I, 160, 161, 161 BIS, 161 BIS 1, 161 BIS 2, 161 BIS 4, 161 BIS 5, 161 BIS 9, 161 BIS 12, 161 BIS 13 y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161 BIS 15 del Código Fiscal de la Ciudad de México; DÉCIMO Transitorio del Decreto por el que se reforman, adicionan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y derogan diversas disposiciones del Código Fiscal de la Ciudad de México, publicado en la Gaceta Oficial de la Ciudad de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México el 31 de diciembre de 2018; y 1°, 2°, 7°, fracción II, 13, 15, fracción XVIII y 28, fracción IX del Reglamento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Interior del Poder Ejecutivo y de la Administración Pública de la Ciudad de México, y</w:t>
      </w:r>
    </w:p>
    <w:p w:rsidR="008A3D88" w:rsidRPr="008A3D88" w:rsidRDefault="008A3D88" w:rsidP="008A3D88">
      <w:pPr>
        <w:jc w:val="both"/>
        <w:rPr>
          <w:rFonts w:ascii="Verdana" w:hAnsi="Verdana"/>
          <w:b/>
          <w:bCs/>
          <w:sz w:val="20"/>
        </w:rPr>
      </w:pPr>
      <w:r w:rsidRPr="008A3D88">
        <w:rPr>
          <w:rFonts w:ascii="Verdana" w:hAnsi="Verdana"/>
          <w:b/>
          <w:bCs/>
          <w:sz w:val="20"/>
        </w:rPr>
        <w:t>C O N S I D E R A N D O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Que de conformidad con el artículo 31, fracción IV de la Constitución Política de los Estados Unidos Mexicanos, es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obligación de los mexicanos contribuir para los gastos públicos, así de la Federación, de la Ciudad de México y los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Municipios en que residan, de la manera proporcional y equitativa que dispongan las leyes.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Que el artículo 160 del Código Fiscal de la Ciudad de México, establece están obligadas al pago del Impuesto Sobre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Tenencia o Uso de Vehículos establecido en el Capítulo VI del Título Tercero del Libro Primero del referido Código, las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personas físicas y las morales, tenedoras o usuarias de los vehículos, siempre que la Ciudad de México expida las placas de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circulación a dichos vehículos en su jurisdicción territorial.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Que en términos del artículo 161 del citado Código, los contribuyentes pagarán el Impuesto Sobre Tenencia o Uso de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Vehículos durante los tres primeros meses del ejercicio fiscal ante las oficinas autorizadas, salvo las excepciones que en el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propio Código se establezcan.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Que la Constitución Política de la Ciudad de México establece que el ejercicio del poder se organizará con base en los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principios de interés social, subsidiariedad, la proximidad gubernamental y el derecho a la buena administración.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Que en términos del artículo 44, fracción I, del Código Fiscal de la Ciudad de México, la persona titular de la Jefatura de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Gobierno, mediante resoluciones de carácter general, puede condonar o eximir, total o parcialmente, el pago de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 xml:space="preserve">contribuciones, </w:t>
      </w:r>
      <w:r w:rsidRPr="008A3D88">
        <w:rPr>
          <w:rFonts w:ascii="Verdana" w:hAnsi="Verdana"/>
          <w:sz w:val="20"/>
        </w:rPr>
        <w:lastRenderedPageBreak/>
        <w:t>aprovechamientos y sus accesorios, autorizar su pago a plazo, diferido o en parcialidades cuando se haya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afectado o trate de impedir que se afecte la situación de alguna zona de la Ciudad de México, una rama de actividad o su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realización, lo que en el presente caso se traduce en apoyar la economía de las familias de la Ciudad de México, otorgando a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las personas referidas en la presente Resolución un estímulo fiscal a fin de reforzar el cumplimiento de sus obligaciones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fiscales, por lo que he tenido a bien expedir la siguiente:</w:t>
      </w:r>
    </w:p>
    <w:p w:rsidR="008A3D88" w:rsidRPr="008A3D88" w:rsidRDefault="008A3D88" w:rsidP="008A3D88">
      <w:pPr>
        <w:jc w:val="both"/>
        <w:rPr>
          <w:rFonts w:ascii="Verdana" w:hAnsi="Verdana"/>
          <w:b/>
          <w:bCs/>
          <w:sz w:val="20"/>
        </w:rPr>
      </w:pPr>
      <w:r w:rsidRPr="008A3D88">
        <w:rPr>
          <w:rFonts w:ascii="Verdana" w:hAnsi="Verdana"/>
          <w:b/>
          <w:bCs/>
          <w:sz w:val="20"/>
        </w:rPr>
        <w:t>RESOLUCIÓN DE CARÁCTER GENERAL POR LA QUE SE CONDONA EL PAGO DEL IMPUESTO SOBRE</w:t>
      </w:r>
      <w:r w:rsidR="00F65FC3">
        <w:rPr>
          <w:rFonts w:ascii="Verdana" w:hAnsi="Verdana"/>
          <w:b/>
          <w:bCs/>
          <w:sz w:val="20"/>
        </w:rPr>
        <w:t xml:space="preserve"> </w:t>
      </w:r>
      <w:r w:rsidRPr="008A3D88">
        <w:rPr>
          <w:rFonts w:ascii="Verdana" w:hAnsi="Verdana"/>
          <w:b/>
          <w:bCs/>
          <w:sz w:val="20"/>
        </w:rPr>
        <w:t>TENENCIA O USO DE VEHÍCULOS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Primero. </w:t>
      </w:r>
      <w:r w:rsidRPr="008A3D88">
        <w:rPr>
          <w:rFonts w:ascii="Verdana" w:hAnsi="Verdana"/>
          <w:sz w:val="20"/>
        </w:rPr>
        <w:t>La presente Resolución tiene por objeto condonar el pago del Impuesto Sobre Tenencia o Uso de Vehículos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incluyendo las actualizaciones y recargos correspondientes al ejercicio fiscal 2019, así como las actualizaciones y recargos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generados por concepto de Derechos de refrendo por la vigencia anual de placas de matrícula del mismo ejercicio fiscal y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será aplicable a aquellas personas físicas o morales sin fines de lucro tenedoras o usuarias de vehículos, cuyo valor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incluyendo el Impuesto al Valor Agregado una vez aplicado el factor de depreciación sea de hasta $250,000.00.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Segundo. </w:t>
      </w:r>
      <w:r w:rsidRPr="008A3D88">
        <w:rPr>
          <w:rFonts w:ascii="Verdana" w:hAnsi="Verdana"/>
          <w:sz w:val="20"/>
        </w:rPr>
        <w:t xml:space="preserve">Para efectos de lo previsto en el numeral </w:t>
      </w:r>
      <w:r w:rsidRPr="008A3D88">
        <w:rPr>
          <w:rFonts w:ascii="Verdana" w:hAnsi="Verdana"/>
          <w:b/>
          <w:bCs/>
          <w:sz w:val="20"/>
        </w:rPr>
        <w:t>Primero</w:t>
      </w:r>
      <w:r w:rsidRPr="008A3D88">
        <w:rPr>
          <w:rFonts w:ascii="Verdana" w:hAnsi="Verdana"/>
          <w:sz w:val="20"/>
        </w:rPr>
        <w:t>, se considera lo siguiente:</w:t>
      </w:r>
    </w:p>
    <w:p w:rsid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I. Personas morales sin fines de lucro: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a) Sindicatos obreros y los organismos que los agrupen.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b) Asociaciones patronales.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c) Cámaras de comercio e industria, agrupaciones agrícolas, ganaderas, pesqueras o silvícolas, así como los organismos que</w:t>
      </w:r>
      <w:r w:rsidR="00F65FC3"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las reúnan.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d) Colegios de profesionales y los organismos que los agrupen.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e) Asociaciones civiles y sociedades de responsabilidad limitada de interés público que administren en forma</w:t>
      </w:r>
      <w:r w:rsidR="00F65FC3"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descentralizada los distritos o unidades de riego, previa la concesión y permiso respectivo.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f) Instituciones de asistencia o de beneficencia, autorizadas por las leyes de la materia, así como las sociedades o</w:t>
      </w:r>
      <w:r w:rsidR="00F65FC3"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asociaciones civiles, organizadas sin fines de lucro y autorizadas para recibir donativos en los términos de la Ley del</w:t>
      </w:r>
      <w:r w:rsidR="00F65FC3"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Impuesto sobre la Renta, que tengan como beneficiarios a personas, sectores y regiones de escasos recursos; que realicen</w:t>
      </w:r>
      <w:r w:rsidR="00F65FC3"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actividades para lograr mejores condiciones de subsistencia y desarrollo a las comunidades indígenas y a los grupos</w:t>
      </w:r>
      <w:r w:rsidR="00F65FC3"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vulnerables por edad, sexo o problemas de discapacidad, dedicadas a las siguientes actividades: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1. La atención a requerimientos básicos de subsistencia en materia de alimentación, vestido o vivienda.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lastRenderedPageBreak/>
        <w:t>2. La asistencia o rehabilitación médica o a la atención en establecimientos especializados.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3. La asistencia jurídica, el apoyo y la promoción, para la tutela de los derechos de los menores, así como para la</w:t>
      </w:r>
      <w:r w:rsidR="00F65FC3"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readaptación social de personas que han llevado a cabo conductas ilícitas.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 xml:space="preserve">4. La rehabilitación de alcohólicos y </w:t>
      </w:r>
      <w:proofErr w:type="spellStart"/>
      <w:r w:rsidRPr="008A3D88">
        <w:rPr>
          <w:rFonts w:ascii="Verdana" w:hAnsi="Verdana"/>
          <w:sz w:val="20"/>
        </w:rPr>
        <w:t>fármacodependientes</w:t>
      </w:r>
      <w:proofErr w:type="spellEnd"/>
      <w:r w:rsidRPr="008A3D88">
        <w:rPr>
          <w:rFonts w:ascii="Verdana" w:hAnsi="Verdana"/>
          <w:sz w:val="20"/>
        </w:rPr>
        <w:t>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5. La ayuda para servicios funerarios.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6. Orientación social, educación o capacitación para el trabajo.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7. La promoción de la participación organizada de la población en las acciones que mejoren sus propias condiciones de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subsistencia en beneficio de la comunidad, y</w:t>
      </w:r>
      <w:r w:rsidR="00F65FC3"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8. Apoyo en la defensa y promoción de los derechos humanos.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g) Sociedades cooperativas de consumo.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h) Organismos que conforme a la normatividad aplicable agrupen a las sociedades cooperativas, ya sea de productores o de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consumidores.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i) Sociedades mutualistas y Fondos de Aseguramiento Agropecuario y Rural, que no operen con terceros, siempre que no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realicen gastos para la adquisición de negocios, tales como premios, comisiones y otros semejantes.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j) Sociedades o asociaciones de carácter civil que se dediquen a la enseñanza, con autorización o con reconocimiento de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validez oficial de estudios en los términos de la Ley General de Educación, así como las instituciones creadas por decreto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presidencial o por ley, cuyo objeto sea la enseñanza.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k) Sociedades o asociaciones de carácter civil dedicadas a la investigación científica o tecnológica que se encuentren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inscritas en el Registro Nacional de Instituciones Científicas y Tecnológicas.</w:t>
      </w:r>
    </w:p>
    <w:p w:rsid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l) Asociaciones o sociedades civiles, organizadas sin fines de lucro y autorizadas para recibir donativos, dedicadas a las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siguientes actividades: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1. La promoción y difusión de música, artes plásticas, artes dramáticas, danza, literatura, arquitectura y cinematografía,</w:t>
      </w:r>
      <w:r w:rsidR="00F65FC3"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conforme a la Ley que crea al Instituto Nacional de Bellas Artes y Literatura, así como a la Ley Federal de Cinematografía.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2. El apoyo a las actividades de educación e investigación artísticas de conformidad con lo señalado en el inciso anterior.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3. La protección, conservación, restauración y recuperación del patrimonio cultural de la Nación, en los términos de la Ley</w:t>
      </w:r>
      <w:r w:rsidR="00F65FC3"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Federal sobre Monumentos y Zonas Arqueológicos, Artísticos e Históricos y la Ley General de Bienes Nacionales; así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 xml:space="preserve">como el arte de las comunidades indígenas en todas las manifestaciones primigenias de sus propias </w:t>
      </w:r>
      <w:r w:rsidRPr="008A3D88">
        <w:rPr>
          <w:rFonts w:ascii="Verdana" w:hAnsi="Verdana"/>
          <w:sz w:val="20"/>
        </w:rPr>
        <w:lastRenderedPageBreak/>
        <w:t>lenguas, los usos y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costumbres, artesanías y tradiciones de la composición pluricultural que conforman el país.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4. La instauración y establecimiento de bibliotecas que formen parte de la Red Nacional de Bibliotecas Públicas de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conformidad con la Ley General de Bibliotecas, y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5. El apoyo a las actividades y objetivos de los museos dependientes de la Secretaría de Cultura de la Administración</w:t>
      </w:r>
      <w:r w:rsidR="00F65FC3"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Pública Federal.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m) Las Instituciones o Sociedades Civiles, constituidas únicamente con el objeto de administrar fondos o cajas de ahorro, y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aquellas a las que se refiera la legislación laboral, así como las sociedades cooperativas de ahorro y préstamo a que se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refiere la Ley para regular las actividades de las sociedades cooperativas de ahorro y préstamos.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n) Asociaciones de padres de familia constituidas y registradas en los términos del Reglamento de Asociaciones de Padres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de Familia de la Ley General de Educación.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ñ) Sociedades de gestión colectiva constituidas de acuerdo con la Ley Federal del Derecho de Autor.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o) Asociaciones o sociedades civiles organizadas con fines políticos, deportivos o religiosos.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p) Asociaciones o sociedades civiles que otorguen becas, a que se refiere el artículo 83 de la Ley del Impuesto Sobre la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Renta.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q) Asociaciones civiles de colonos y las asociaciones civiles que se dediquen exclusivamente a la administración de un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inmueble de propiedad en condominio.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r) Las sociedades o asociaciones civiles, organizadas sin fines de lucro que se constituyan y funcionen en forma exclusiva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para la realización de actividades de investigación o preservación de la flora o fauna silvestre, terrestre o acuática, dentro de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las áreas geográficas definidas que señale el Servicio de Administración Tributaria mediante reglas de carácter general, así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como aquellas que se constituyan y funcionen en forma exclusiva para promover entre la población la prevención y control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de la contaminación del agua, del aire y del suelo, la protección al ambiente y la preservación y restauración del equilibrio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ecológico. Dichas sociedades o asociaciones, deberán cumplir con los requisitos señalados en el artículo 82 de la Ley del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Impuesto sobre la Renta, salvo lo dispuesto en la fracción I del mismo artículo, para ser consideradas como instituciones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autorizadas para recibir donativos en los términos de la misma Ley, y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s) Las asociaciones y sociedades civiles, sin fines de lucro, que comprueben que se dedican exclusivamente a la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reproducción de especies en protección y peligro de extinción y a la conservación de su hábitat, siempre que además de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cumplir con las reglas de carácter general que emita el Servicio de Administración Tributaria, se obtenga opinión previa de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la Secretaría de Medio Ambiente y Recursos Naturales. Dichas asociaciones y sociedades, deberán cumplir con los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 xml:space="preserve">requisitos señalados en el </w:t>
      </w:r>
      <w:r w:rsidRPr="008A3D88">
        <w:rPr>
          <w:rFonts w:ascii="Verdana" w:hAnsi="Verdana"/>
          <w:sz w:val="20"/>
        </w:rPr>
        <w:lastRenderedPageBreak/>
        <w:t>artículo 82 de la Ley del Impuesto sobre la Renta, salvo lo dispuesto en la fracción I del mismo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artículo.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II. Factor de depreciación será para el caso de: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a) Vehículos particulares, el previsto en el artículo 161 BIS 13 del Código Fiscal de la Ciudad de México;</w:t>
      </w:r>
      <w:r>
        <w:rPr>
          <w:rFonts w:ascii="Verdana" w:hAnsi="Verdana"/>
          <w:sz w:val="20"/>
        </w:rPr>
        <w:t xml:space="preserve"> </w:t>
      </w:r>
    </w:p>
    <w:p w:rsid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b) Vehículos de carga o de servicios públicos, el establecido en el artículo 161 BIS 12 del mencionado Código, y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c) Motocicletas, el contemplado en el artículo 161 BIS 15 de dicho Código.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Tercero. </w:t>
      </w:r>
      <w:r w:rsidRPr="008A3D88">
        <w:rPr>
          <w:rFonts w:ascii="Verdana" w:hAnsi="Verdana"/>
          <w:sz w:val="20"/>
        </w:rPr>
        <w:t>Será requisito para la aplicación de la condonación que el contribuyente tenedor o usuario del vehículo de que se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trate: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a) Se encuentre al corriente en el pago del Impuesto Sobre Tenencia o Uso de Vehículos que le sea exigible, derivado de la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Ley del Impuesto sobre Tenencia o Uso de Vehículos, publicada en el Diario Oficial de la Federación el 30 de diciembre de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1980, o en su caso;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b) Se encuentre al corriente en el pago del Impuesto sobre Tenencia o Uso de Vehículos generado en los ejercicios fiscales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2014, 2015, 2016, 2017 y 2018;</w:t>
      </w:r>
    </w:p>
    <w:p w:rsid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c) Cubra los derechos de refrendo por la vigencia anual de placas de matrícula que correspondan al ejercicio fiscal 2019; y</w:t>
      </w:r>
      <w:r>
        <w:rPr>
          <w:rFonts w:ascii="Verdana" w:hAnsi="Verdana"/>
          <w:sz w:val="20"/>
        </w:rPr>
        <w:t xml:space="preserve"> 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d) Cubra los derechos de control vehicular previstos en los artículos 219, 220, 222, 223, 224, 225, 228, 229, 230 y 231 del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Código Fiscal de la Ciudad de México que incluye el correspondiente a la renovación o reposición de tarjeta de circulación,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siempre que le sean aplicables.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Cuarto. </w:t>
      </w:r>
      <w:r w:rsidRPr="008A3D88">
        <w:rPr>
          <w:rFonts w:ascii="Verdana" w:hAnsi="Verdana"/>
          <w:sz w:val="20"/>
        </w:rPr>
        <w:t>El beneficio a que hace referencia la presente Resolución, se aplicará del 03 de abril al 01 de julio de 2019.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Quinto. </w:t>
      </w:r>
      <w:r w:rsidRPr="008A3D88">
        <w:rPr>
          <w:rFonts w:ascii="Verdana" w:hAnsi="Verdana"/>
          <w:sz w:val="20"/>
        </w:rPr>
        <w:t>Para efecto de la presente Resolución, el contribuyente deberá realizar su pago mediante Formato Múltiple de Pago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a la Tesorería, en el cual se verá reflejada la condonación objeto de la presente, que podrá obtener a través de los siguientes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medios: Internet en la dirección: www.finanzas.cdmx.gob.mx; a través de los Kioscos de Tesorería o Centros de Servicio de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Tesorería o en cualquiera de las oficinas de Administración Tributaria.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Sexto. </w:t>
      </w:r>
      <w:r w:rsidRPr="008A3D88">
        <w:rPr>
          <w:rFonts w:ascii="Verdana" w:hAnsi="Verdana"/>
          <w:sz w:val="20"/>
        </w:rPr>
        <w:t>En caso de que el contribuyente tenga adeudos del Impuesto Sobre Tenencia o Uso de Vehículos de ejercicios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fiscales anteriores, que a la fecha le sean exigibles, o bien los derechos de control vehicular a que hacen alusión los incisos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 xml:space="preserve">c) y d) del numeral </w:t>
      </w:r>
      <w:r w:rsidRPr="008A3D88">
        <w:rPr>
          <w:rFonts w:ascii="Verdana" w:hAnsi="Verdana"/>
          <w:b/>
          <w:bCs/>
          <w:sz w:val="20"/>
        </w:rPr>
        <w:t xml:space="preserve">Tercero </w:t>
      </w:r>
      <w:r w:rsidRPr="008A3D88">
        <w:rPr>
          <w:rFonts w:ascii="Verdana" w:hAnsi="Verdana"/>
          <w:sz w:val="20"/>
        </w:rPr>
        <w:t>de la presente Resolución, previo a la aplicación de la condonación deberá aclarar o cubrir los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adeudos correspondientes.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lastRenderedPageBreak/>
        <w:t xml:space="preserve">I. Tratándose de adeudos que deriven como resultado del requerimiento de obligaciones por parte de la </w:t>
      </w:r>
      <w:proofErr w:type="spellStart"/>
      <w:r w:rsidRPr="008A3D88">
        <w:rPr>
          <w:rFonts w:ascii="Verdana" w:hAnsi="Verdana"/>
          <w:sz w:val="20"/>
        </w:rPr>
        <w:t>Subtesorería</w:t>
      </w:r>
      <w:proofErr w:type="spellEnd"/>
      <w:r w:rsidRPr="008A3D88">
        <w:rPr>
          <w:rFonts w:ascii="Verdana" w:hAnsi="Verdana"/>
          <w:sz w:val="20"/>
        </w:rPr>
        <w:t xml:space="preserve"> de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Fiscalización, el contribuyente deberá acudir previamente: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a) A la Jefatura de Unidad Departamental de Determinación de Crédito y Cobro, ubicada en la Administración Tributaria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que corresponda a su domicilio, de acuerdo con lo siguiente: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proofErr w:type="spellStart"/>
      <w:r w:rsidRPr="008A3D88">
        <w:rPr>
          <w:rFonts w:ascii="Verdana" w:hAnsi="Verdana"/>
          <w:b/>
          <w:bCs/>
          <w:sz w:val="20"/>
        </w:rPr>
        <w:t>Acoxpa</w:t>
      </w:r>
      <w:proofErr w:type="spellEnd"/>
      <w:r w:rsidRPr="008A3D88">
        <w:rPr>
          <w:rFonts w:ascii="Verdana" w:hAnsi="Verdana"/>
          <w:b/>
          <w:bCs/>
          <w:sz w:val="20"/>
        </w:rPr>
        <w:t xml:space="preserve">: </w:t>
      </w:r>
      <w:proofErr w:type="spellStart"/>
      <w:r w:rsidRPr="008A3D88">
        <w:rPr>
          <w:rFonts w:ascii="Verdana" w:hAnsi="Verdana"/>
          <w:sz w:val="20"/>
        </w:rPr>
        <w:t>Calz</w:t>
      </w:r>
      <w:proofErr w:type="spellEnd"/>
      <w:r w:rsidRPr="008A3D88">
        <w:rPr>
          <w:rFonts w:ascii="Verdana" w:hAnsi="Verdana"/>
          <w:sz w:val="20"/>
        </w:rPr>
        <w:t xml:space="preserve">. </w:t>
      </w:r>
      <w:proofErr w:type="spellStart"/>
      <w:r w:rsidRPr="008A3D88">
        <w:rPr>
          <w:rFonts w:ascii="Verdana" w:hAnsi="Verdana"/>
          <w:sz w:val="20"/>
        </w:rPr>
        <w:t>Acoxpa</w:t>
      </w:r>
      <w:proofErr w:type="spellEnd"/>
      <w:r w:rsidRPr="008A3D88">
        <w:rPr>
          <w:rFonts w:ascii="Verdana" w:hAnsi="Verdana"/>
          <w:sz w:val="20"/>
        </w:rPr>
        <w:t xml:space="preserve"> No. 725, Col. Villa Coapa, C.P. 14390, Alcaldía Tlalpan.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Aragón: </w:t>
      </w:r>
      <w:r w:rsidRPr="008A3D88">
        <w:rPr>
          <w:rFonts w:ascii="Verdana" w:hAnsi="Verdana"/>
          <w:sz w:val="20"/>
        </w:rPr>
        <w:t>Av. 535 No. 3939, Col. U. Hab. San Juan de Aragón, 1ra. Sección, C.P. 07969, Alcaldía Gustavo A. Madero.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Anáhuac: </w:t>
      </w:r>
      <w:r w:rsidRPr="008A3D88">
        <w:rPr>
          <w:rFonts w:ascii="Verdana" w:hAnsi="Verdana"/>
          <w:sz w:val="20"/>
        </w:rPr>
        <w:t>Av. Mariano Escobedo No. 174, Col. Anáhuac, C.P. 11320, Alcaldía Miguel Hidalgo.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Benito Juárez: </w:t>
      </w:r>
      <w:r w:rsidRPr="008A3D88">
        <w:rPr>
          <w:rFonts w:ascii="Verdana" w:hAnsi="Verdana"/>
          <w:sz w:val="20"/>
        </w:rPr>
        <w:t>Av. Juan Crisóstomo Bonilla No. 59, Col. Cabeza de Juárez, C.P. 09227, Alcaldía Iztapalapa.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Centro Médico: </w:t>
      </w:r>
      <w:r w:rsidRPr="008A3D88">
        <w:rPr>
          <w:rFonts w:ascii="Verdana" w:hAnsi="Verdana"/>
          <w:sz w:val="20"/>
        </w:rPr>
        <w:t xml:space="preserve">Antonio M. </w:t>
      </w:r>
      <w:proofErr w:type="spellStart"/>
      <w:r w:rsidRPr="008A3D88">
        <w:rPr>
          <w:rFonts w:ascii="Verdana" w:hAnsi="Verdana"/>
          <w:sz w:val="20"/>
        </w:rPr>
        <w:t>Anza</w:t>
      </w:r>
      <w:proofErr w:type="spellEnd"/>
      <w:r w:rsidRPr="008A3D88">
        <w:rPr>
          <w:rFonts w:ascii="Verdana" w:hAnsi="Verdana"/>
          <w:sz w:val="20"/>
        </w:rPr>
        <w:t xml:space="preserve"> S/N, esq. Orizaba, Col. Roma Sur, C.P. 06700, Alcaldía Cuauhtémoc.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Coruña: </w:t>
      </w:r>
      <w:r w:rsidRPr="008A3D88">
        <w:rPr>
          <w:rFonts w:ascii="Verdana" w:hAnsi="Verdana"/>
          <w:sz w:val="20"/>
        </w:rPr>
        <w:t xml:space="preserve">Sur 65-A No. 3246, Col. Viaducto Piedad, C.P. 08200, Alcaldía </w:t>
      </w:r>
      <w:proofErr w:type="spellStart"/>
      <w:r w:rsidRPr="008A3D88">
        <w:rPr>
          <w:rFonts w:ascii="Verdana" w:hAnsi="Verdana"/>
          <w:sz w:val="20"/>
        </w:rPr>
        <w:t>Iztacalco</w:t>
      </w:r>
      <w:proofErr w:type="spellEnd"/>
      <w:r w:rsidRPr="008A3D88">
        <w:rPr>
          <w:rFonts w:ascii="Verdana" w:hAnsi="Verdana"/>
          <w:sz w:val="20"/>
        </w:rPr>
        <w:t>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Parque Lira: </w:t>
      </w:r>
      <w:r w:rsidRPr="008A3D88">
        <w:rPr>
          <w:rFonts w:ascii="Verdana" w:hAnsi="Verdana"/>
          <w:sz w:val="20"/>
        </w:rPr>
        <w:t>Gral. Fuero y las Huertas, Col. Observatorio, C.P. 11860, Alcaldía Miguel Hidalgo.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proofErr w:type="spellStart"/>
      <w:r w:rsidRPr="008A3D88">
        <w:rPr>
          <w:rFonts w:ascii="Verdana" w:hAnsi="Verdana"/>
          <w:b/>
          <w:bCs/>
          <w:sz w:val="20"/>
        </w:rPr>
        <w:t>Perisur</w:t>
      </w:r>
      <w:proofErr w:type="spellEnd"/>
      <w:r w:rsidRPr="008A3D88">
        <w:rPr>
          <w:rFonts w:ascii="Verdana" w:hAnsi="Verdana"/>
          <w:b/>
          <w:bCs/>
          <w:sz w:val="20"/>
        </w:rPr>
        <w:t xml:space="preserve">: </w:t>
      </w:r>
      <w:r w:rsidRPr="008A3D88">
        <w:rPr>
          <w:rFonts w:ascii="Verdana" w:hAnsi="Verdana"/>
          <w:sz w:val="20"/>
        </w:rPr>
        <w:t>Rinconada Colonial s/n, Col. Pedregal de Carrasco, C.P. 04700, Alcaldía Coyoacán.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San Borja: </w:t>
      </w:r>
      <w:r w:rsidRPr="008A3D88">
        <w:rPr>
          <w:rFonts w:ascii="Verdana" w:hAnsi="Verdana"/>
          <w:sz w:val="20"/>
        </w:rPr>
        <w:t>Av. San Borja No. 1215, Col. Narvarte C.P. 03020 Alcaldía Benito Juárez.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San Jerónimo: </w:t>
      </w:r>
      <w:r w:rsidRPr="008A3D88">
        <w:rPr>
          <w:rFonts w:ascii="Verdana" w:hAnsi="Verdana"/>
          <w:sz w:val="20"/>
        </w:rPr>
        <w:t>Av. San Jerónimo No. 45, Col. Cd. Universitaria, C.P. 04510, Alcaldía Coyoacán.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San Lázaro: </w:t>
      </w:r>
      <w:r w:rsidRPr="008A3D88">
        <w:rPr>
          <w:rFonts w:ascii="Verdana" w:hAnsi="Verdana"/>
          <w:sz w:val="20"/>
        </w:rPr>
        <w:t>Emiliano Zapata No. 244, Col. 10 de Mayo, C.P. 15290, Alcaldía Venustiano Carranza.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Taxqueña: </w:t>
      </w:r>
      <w:r w:rsidRPr="008A3D88">
        <w:rPr>
          <w:rFonts w:ascii="Verdana" w:hAnsi="Verdana"/>
          <w:sz w:val="20"/>
        </w:rPr>
        <w:t>Canal de Miramontes No. 1785, esq. Cerro de Jesús, Col. Country Club, C.P. 04220, Alcaldía Coyoacán.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Ferrería: </w:t>
      </w:r>
      <w:r w:rsidRPr="008A3D88">
        <w:rPr>
          <w:rFonts w:ascii="Verdana" w:hAnsi="Verdana"/>
          <w:sz w:val="20"/>
        </w:rPr>
        <w:t xml:space="preserve">Centro Comercial </w:t>
      </w:r>
      <w:proofErr w:type="spellStart"/>
      <w:r w:rsidRPr="008A3D88">
        <w:rPr>
          <w:rFonts w:ascii="Verdana" w:hAnsi="Verdana"/>
          <w:sz w:val="20"/>
        </w:rPr>
        <w:t>Tecnoparque</w:t>
      </w:r>
      <w:proofErr w:type="spellEnd"/>
      <w:r w:rsidRPr="008A3D88">
        <w:rPr>
          <w:rFonts w:ascii="Verdana" w:hAnsi="Verdana"/>
          <w:sz w:val="20"/>
        </w:rPr>
        <w:t xml:space="preserve"> Av. De las Granjas No. 972, Col. Santa Bárbara, C.P. 02230, Alcaldía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Azcapotzalco.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Tepeyac: </w:t>
      </w:r>
      <w:proofErr w:type="spellStart"/>
      <w:r w:rsidRPr="008A3D88">
        <w:rPr>
          <w:rFonts w:ascii="Verdana" w:hAnsi="Verdana"/>
          <w:sz w:val="20"/>
        </w:rPr>
        <w:t>Cda</w:t>
      </w:r>
      <w:proofErr w:type="spellEnd"/>
      <w:r w:rsidRPr="008A3D88">
        <w:rPr>
          <w:rFonts w:ascii="Verdana" w:hAnsi="Verdana"/>
          <w:sz w:val="20"/>
        </w:rPr>
        <w:t>. Francisco Moreno No. 38, Col. Gustavo A. Madero, C.P. 07050, Alcaldía Gustavo A. Madero.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proofErr w:type="spellStart"/>
      <w:r w:rsidRPr="008A3D88">
        <w:rPr>
          <w:rFonts w:ascii="Verdana" w:hAnsi="Verdana"/>
          <w:b/>
          <w:bCs/>
          <w:sz w:val="20"/>
        </w:rPr>
        <w:t>Tezonco</w:t>
      </w:r>
      <w:proofErr w:type="spellEnd"/>
      <w:r w:rsidRPr="008A3D88">
        <w:rPr>
          <w:rFonts w:ascii="Verdana" w:hAnsi="Verdana"/>
          <w:b/>
          <w:bCs/>
          <w:sz w:val="20"/>
        </w:rPr>
        <w:t xml:space="preserve">: </w:t>
      </w:r>
      <w:r w:rsidRPr="008A3D88">
        <w:rPr>
          <w:rFonts w:ascii="Verdana" w:hAnsi="Verdana"/>
          <w:sz w:val="20"/>
        </w:rPr>
        <w:t>Av. Tláhuac No. 1745, Col. San Antonio, C.P. 09900, Alcaldía Iztapalapa.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Tezontle: </w:t>
      </w:r>
      <w:r w:rsidRPr="008A3D88">
        <w:rPr>
          <w:rFonts w:ascii="Verdana" w:hAnsi="Verdana"/>
          <w:sz w:val="20"/>
        </w:rPr>
        <w:t xml:space="preserve">Circuito Interior Río Churubusco No. 655, Col. U. Hab. </w:t>
      </w:r>
      <w:proofErr w:type="spellStart"/>
      <w:r w:rsidRPr="008A3D88">
        <w:rPr>
          <w:rFonts w:ascii="Verdana" w:hAnsi="Verdana"/>
          <w:sz w:val="20"/>
        </w:rPr>
        <w:t>Infonavit</w:t>
      </w:r>
      <w:proofErr w:type="spellEnd"/>
      <w:r w:rsidRPr="008A3D88">
        <w:rPr>
          <w:rFonts w:ascii="Verdana" w:hAnsi="Verdana"/>
          <w:sz w:val="20"/>
        </w:rPr>
        <w:t xml:space="preserve"> </w:t>
      </w:r>
      <w:proofErr w:type="spellStart"/>
      <w:r w:rsidRPr="008A3D88">
        <w:rPr>
          <w:rFonts w:ascii="Verdana" w:hAnsi="Verdana"/>
          <w:sz w:val="20"/>
        </w:rPr>
        <w:t>Iztacalco</w:t>
      </w:r>
      <w:proofErr w:type="spellEnd"/>
      <w:r w:rsidRPr="008A3D88">
        <w:rPr>
          <w:rFonts w:ascii="Verdana" w:hAnsi="Verdana"/>
          <w:sz w:val="20"/>
        </w:rPr>
        <w:t xml:space="preserve">, C.P. 08900, Alcaldía </w:t>
      </w:r>
      <w:proofErr w:type="spellStart"/>
      <w:r w:rsidRPr="008A3D88">
        <w:rPr>
          <w:rFonts w:ascii="Verdana" w:hAnsi="Verdana"/>
          <w:sz w:val="20"/>
        </w:rPr>
        <w:t>Iztacalco</w:t>
      </w:r>
      <w:proofErr w:type="spellEnd"/>
      <w:r w:rsidRPr="008A3D88">
        <w:rPr>
          <w:rFonts w:ascii="Verdana" w:hAnsi="Verdana"/>
          <w:sz w:val="20"/>
        </w:rPr>
        <w:t>.</w:t>
      </w:r>
    </w:p>
    <w:p w:rsid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lastRenderedPageBreak/>
        <w:t xml:space="preserve">Xochimilco: </w:t>
      </w:r>
      <w:r w:rsidRPr="008A3D88">
        <w:rPr>
          <w:rFonts w:ascii="Verdana" w:hAnsi="Verdana"/>
          <w:sz w:val="20"/>
        </w:rPr>
        <w:t>Av. Prolongación División del Norte No. 5298, Col. Barrio San Marcos Norte, C.P. 16038, Alcaldía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Xochimilco.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b) En caso de que conforme a su domicilio le correspondan las Administraciones Tributarias indicadas a continuación,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proofErr w:type="gramStart"/>
      <w:r w:rsidRPr="008A3D88">
        <w:rPr>
          <w:rFonts w:ascii="Verdana" w:hAnsi="Verdana"/>
          <w:sz w:val="20"/>
        </w:rPr>
        <w:t>deberán</w:t>
      </w:r>
      <w:proofErr w:type="gramEnd"/>
      <w:r w:rsidRPr="008A3D88">
        <w:rPr>
          <w:rFonts w:ascii="Verdana" w:hAnsi="Verdana"/>
          <w:sz w:val="20"/>
        </w:rPr>
        <w:t xml:space="preserve"> acudir: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- Cien Metros a Ferrería,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- San Antonio a San Jerónimo,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 xml:space="preserve">- </w:t>
      </w:r>
      <w:proofErr w:type="spellStart"/>
      <w:r w:rsidRPr="008A3D88">
        <w:rPr>
          <w:rFonts w:ascii="Verdana" w:hAnsi="Verdana"/>
          <w:sz w:val="20"/>
        </w:rPr>
        <w:t>Meyehualco</w:t>
      </w:r>
      <w:proofErr w:type="spellEnd"/>
      <w:r w:rsidRPr="008A3D88">
        <w:rPr>
          <w:rFonts w:ascii="Verdana" w:hAnsi="Verdana"/>
          <w:sz w:val="20"/>
        </w:rPr>
        <w:t xml:space="preserve"> a Benito Juárez,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 xml:space="preserve">- Mina a Centro Médico Antonio M. </w:t>
      </w:r>
      <w:proofErr w:type="spellStart"/>
      <w:r w:rsidRPr="008A3D88">
        <w:rPr>
          <w:rFonts w:ascii="Verdana" w:hAnsi="Verdana"/>
          <w:sz w:val="20"/>
        </w:rPr>
        <w:t>Anza</w:t>
      </w:r>
      <w:proofErr w:type="spellEnd"/>
      <w:r w:rsidRPr="008A3D88">
        <w:rPr>
          <w:rFonts w:ascii="Verdana" w:hAnsi="Verdana"/>
          <w:sz w:val="20"/>
        </w:rPr>
        <w:t xml:space="preserve"> S/N esq. Orizaba, Col. Roma, C.P. 06700, Alcaldía Cuauhtémoc.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c) En el supuesto de que el Procedimiento Administrativo de Ejecución, se encuentre en las etapas de extracción,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intervención, remate o enajenación fuera de remate, el contribuyente deberá acudir a la Dirección de Recuperación y Cobro,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sita en Dinamarca 84, Col. Juárez, C.P. 06600, Alcaldía Cuauhtémoc.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 xml:space="preserve">II. Si el adeudo se deriva como resultado del ejercicio de las facultades de comprobación por parte de la </w:t>
      </w:r>
      <w:proofErr w:type="spellStart"/>
      <w:r w:rsidRPr="008A3D88">
        <w:rPr>
          <w:rFonts w:ascii="Verdana" w:hAnsi="Verdana"/>
          <w:sz w:val="20"/>
        </w:rPr>
        <w:t>Subtesorería</w:t>
      </w:r>
      <w:proofErr w:type="spellEnd"/>
      <w:r w:rsidRPr="008A3D88">
        <w:rPr>
          <w:rFonts w:ascii="Verdana" w:hAnsi="Verdana"/>
          <w:sz w:val="20"/>
        </w:rPr>
        <w:t xml:space="preserve"> de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Fiscalización: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a) Siempre que se haya emitido el oficio de observaciones o bien, levantada el acta final por parte de las autoridades de la</w:t>
      </w:r>
      <w:r>
        <w:rPr>
          <w:rFonts w:ascii="Verdana" w:hAnsi="Verdana"/>
          <w:sz w:val="20"/>
        </w:rPr>
        <w:t xml:space="preserve"> </w:t>
      </w:r>
      <w:proofErr w:type="spellStart"/>
      <w:r w:rsidRPr="008A3D88">
        <w:rPr>
          <w:rFonts w:ascii="Verdana" w:hAnsi="Verdana"/>
          <w:sz w:val="20"/>
        </w:rPr>
        <w:t>Subtesorería</w:t>
      </w:r>
      <w:proofErr w:type="spellEnd"/>
      <w:r w:rsidRPr="008A3D88">
        <w:rPr>
          <w:rFonts w:ascii="Verdana" w:hAnsi="Verdana"/>
          <w:sz w:val="20"/>
        </w:rPr>
        <w:t xml:space="preserve"> de Fiscalización, deberán acudir ante las Direcciones de Proceso de Auditorías o Verificaciones Fiscales de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 xml:space="preserve">dicha </w:t>
      </w:r>
      <w:proofErr w:type="spellStart"/>
      <w:r w:rsidRPr="008A3D88">
        <w:rPr>
          <w:rFonts w:ascii="Verdana" w:hAnsi="Verdana"/>
          <w:sz w:val="20"/>
        </w:rPr>
        <w:t>Subtesorería</w:t>
      </w:r>
      <w:proofErr w:type="spellEnd"/>
      <w:r w:rsidRPr="008A3D88">
        <w:rPr>
          <w:rFonts w:ascii="Verdana" w:hAnsi="Verdana"/>
          <w:sz w:val="20"/>
        </w:rPr>
        <w:t>, sitas en Dinamarca 84, Col. Juárez, C.P. 06600, Alcaldía Cuauhtémoc.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b) En el caso de créditos fiscales determinados, respecto de los cuales no se haya iniciado el Procedimiento Administrativo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de Ejecución, deberán acudir a la Dirección de Determinación de Créditos y Obligaciones Fiscales sita en Dinamarca 84,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Col. Juárez, C.P. 06600, Alcaldía Cuauhtémoc.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c) En el supuesto de que se haya iniciado el Procedimiento Administrativo de Ejecución, deberán presentarse en la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Dirección de Recuperación y Cobro, sita en Dinamarca 84, Col. Juárez, C.P. 06600, Alcaldía Cuauhtémoc.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Para cualquier duda o aclaración con respecto a los trámites antes mencionados, el contribuyente podrá consultarlos al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 xml:space="preserve">teléfono de </w:t>
      </w:r>
      <w:proofErr w:type="spellStart"/>
      <w:r w:rsidRPr="008A3D88">
        <w:rPr>
          <w:rFonts w:ascii="Verdana" w:hAnsi="Verdana"/>
          <w:sz w:val="20"/>
        </w:rPr>
        <w:t>Contributel</w:t>
      </w:r>
      <w:proofErr w:type="spellEnd"/>
      <w:r w:rsidRPr="008A3D88">
        <w:rPr>
          <w:rFonts w:ascii="Verdana" w:hAnsi="Verdana"/>
          <w:sz w:val="20"/>
        </w:rPr>
        <w:t xml:space="preserve"> 55-88-33-88.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Séptimo. </w:t>
      </w:r>
      <w:r w:rsidRPr="008A3D88">
        <w:rPr>
          <w:rFonts w:ascii="Verdana" w:hAnsi="Verdana"/>
          <w:sz w:val="20"/>
        </w:rPr>
        <w:t>La autoridad fiscal se reservará sus facultades de comprobación respecto de las diferencias que se detecten con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posterioridad a la aplicación de la presente Resolución.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sz w:val="20"/>
        </w:rPr>
        <w:t>Asimismo, el beneficio que se confiere en el presente instrumento no otorga a los contribuyentes el derecho a devolución o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compensación alguna.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lastRenderedPageBreak/>
        <w:t xml:space="preserve">Octavo. </w:t>
      </w:r>
      <w:r w:rsidRPr="008A3D88">
        <w:rPr>
          <w:rFonts w:ascii="Verdana" w:hAnsi="Verdana"/>
          <w:sz w:val="20"/>
        </w:rPr>
        <w:t>Conforme a lo establecido por el artículo 297 del Código Fiscal de la Ciudad de México, no procederá la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acumulación de beneficios fiscales establecidos en esta Resolución con cualquier otro beneficio de los establecidos en el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referido Código, respecto de un mismo concepto y ejercicio fiscal.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Noveno. </w:t>
      </w:r>
      <w:r w:rsidRPr="008A3D88">
        <w:rPr>
          <w:rFonts w:ascii="Verdana" w:hAnsi="Verdana"/>
          <w:sz w:val="20"/>
        </w:rPr>
        <w:t>La Tesorería de la Ciudad de México instrumentará lo necesario para dar cumplimiento a lo dispuesto en la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presente Resolución.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Décimo. </w:t>
      </w:r>
      <w:r w:rsidRPr="008A3D88">
        <w:rPr>
          <w:rFonts w:ascii="Verdana" w:hAnsi="Verdana"/>
          <w:sz w:val="20"/>
        </w:rPr>
        <w:t>La interpretación de esta Resolución para efectos administrativos y fiscales corresponderá a la Secretaría de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Administración y Finanzas.</w:t>
      </w:r>
    </w:p>
    <w:p w:rsidR="008A3D88" w:rsidRPr="008A3D88" w:rsidRDefault="008A3D88" w:rsidP="008A3D88">
      <w:pPr>
        <w:jc w:val="both"/>
        <w:rPr>
          <w:rFonts w:ascii="Verdana" w:hAnsi="Verdana"/>
          <w:b/>
          <w:bCs/>
          <w:sz w:val="20"/>
        </w:rPr>
      </w:pPr>
      <w:r w:rsidRPr="008A3D88">
        <w:rPr>
          <w:rFonts w:ascii="Verdana" w:hAnsi="Verdana"/>
          <w:b/>
          <w:bCs/>
          <w:sz w:val="20"/>
        </w:rPr>
        <w:t>T R A N S I T O R I O S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Primero. </w:t>
      </w:r>
      <w:r w:rsidRPr="008A3D88">
        <w:rPr>
          <w:rFonts w:ascii="Verdana" w:hAnsi="Verdana"/>
          <w:sz w:val="20"/>
        </w:rPr>
        <w:t>Publíquese en la Gaceta Oficial de la Ciudad de México para su debida observancia y aplicación.</w:t>
      </w:r>
    </w:p>
    <w:p w:rsidR="008A3D88" w:rsidRPr="008A3D88" w:rsidRDefault="008A3D88" w:rsidP="008A3D88">
      <w:pPr>
        <w:jc w:val="both"/>
        <w:rPr>
          <w:rFonts w:ascii="Verdana" w:hAnsi="Verdana"/>
          <w:sz w:val="20"/>
        </w:rPr>
      </w:pPr>
      <w:r w:rsidRPr="008A3D88">
        <w:rPr>
          <w:rFonts w:ascii="Verdana" w:hAnsi="Verdana"/>
          <w:b/>
          <w:bCs/>
          <w:sz w:val="20"/>
        </w:rPr>
        <w:t xml:space="preserve">Segundo. </w:t>
      </w:r>
      <w:r w:rsidRPr="008A3D88">
        <w:rPr>
          <w:rFonts w:ascii="Verdana" w:hAnsi="Verdana"/>
          <w:sz w:val="20"/>
        </w:rPr>
        <w:t>Los beneficios a que se refiere la presente Resolución surtirán efectos a partir del 03 de abril y hasta el 01 de julio</w:t>
      </w:r>
      <w:r>
        <w:rPr>
          <w:rFonts w:ascii="Verdana" w:hAnsi="Verdana"/>
          <w:sz w:val="20"/>
        </w:rPr>
        <w:t xml:space="preserve"> </w:t>
      </w:r>
      <w:r w:rsidRPr="008A3D88">
        <w:rPr>
          <w:rFonts w:ascii="Verdana" w:hAnsi="Verdana"/>
          <w:sz w:val="20"/>
        </w:rPr>
        <w:t>de 2019.</w:t>
      </w:r>
    </w:p>
    <w:p w:rsidR="008A3D88" w:rsidRDefault="008A3D88" w:rsidP="008A3D88">
      <w:pPr>
        <w:jc w:val="both"/>
        <w:rPr>
          <w:rFonts w:ascii="Verdana" w:hAnsi="Verdana"/>
          <w:b/>
          <w:bCs/>
          <w:sz w:val="20"/>
        </w:rPr>
      </w:pPr>
      <w:r w:rsidRPr="008A3D88">
        <w:rPr>
          <w:rFonts w:ascii="Verdana" w:hAnsi="Verdana"/>
          <w:sz w:val="20"/>
        </w:rPr>
        <w:t xml:space="preserve">Dado en la Residencia Oficial de la Jefa de Gobierno de la Ciudad de México, a los 02 días del mes de abril de 2019. </w:t>
      </w:r>
      <w:r w:rsidRPr="008A3D88">
        <w:rPr>
          <w:rFonts w:ascii="Verdana" w:hAnsi="Verdana"/>
          <w:b/>
          <w:bCs/>
          <w:sz w:val="20"/>
        </w:rPr>
        <w:t>LA</w:t>
      </w:r>
      <w:r>
        <w:rPr>
          <w:rFonts w:ascii="Verdana" w:hAnsi="Verdana"/>
          <w:b/>
          <w:bCs/>
          <w:sz w:val="20"/>
        </w:rPr>
        <w:t xml:space="preserve"> </w:t>
      </w:r>
      <w:r w:rsidRPr="008A3D88">
        <w:rPr>
          <w:rFonts w:ascii="Verdana" w:hAnsi="Verdana"/>
          <w:b/>
          <w:bCs/>
          <w:sz w:val="20"/>
        </w:rPr>
        <w:t>JEFA DE GOBIERNO DE LA CIUDAD DE MÉXICO, DRA. CLAUDIA SHEINBAUM PARDO.- FIRMA.- LA</w:t>
      </w:r>
      <w:r>
        <w:rPr>
          <w:rFonts w:ascii="Verdana" w:hAnsi="Verdana"/>
          <w:b/>
          <w:bCs/>
          <w:sz w:val="20"/>
        </w:rPr>
        <w:t xml:space="preserve"> </w:t>
      </w:r>
      <w:r w:rsidRPr="008A3D88">
        <w:rPr>
          <w:rFonts w:ascii="Verdana" w:hAnsi="Verdana"/>
          <w:b/>
          <w:bCs/>
          <w:sz w:val="20"/>
        </w:rPr>
        <w:t>SECRETARIA DE GOBIERNO, ROSA ICELA RODRÍGUEZ VELÁZQUEZ.- FIRMA.-</w:t>
      </w:r>
      <w:r>
        <w:rPr>
          <w:rFonts w:ascii="Verdana" w:hAnsi="Verdana"/>
          <w:b/>
          <w:bCs/>
          <w:sz w:val="20"/>
        </w:rPr>
        <w:t xml:space="preserve"> </w:t>
      </w:r>
      <w:r w:rsidRPr="008A3D88">
        <w:rPr>
          <w:rFonts w:ascii="Verdana" w:hAnsi="Verdana"/>
          <w:b/>
          <w:bCs/>
          <w:sz w:val="20"/>
        </w:rPr>
        <w:t>LA SECRETARÍA DE</w:t>
      </w:r>
      <w:r>
        <w:rPr>
          <w:rFonts w:ascii="Verdana" w:hAnsi="Verdana"/>
          <w:b/>
          <w:bCs/>
          <w:sz w:val="20"/>
        </w:rPr>
        <w:t xml:space="preserve"> </w:t>
      </w:r>
      <w:r w:rsidRPr="008A3D88">
        <w:rPr>
          <w:rFonts w:ascii="Verdana" w:hAnsi="Verdana"/>
          <w:b/>
          <w:bCs/>
          <w:sz w:val="20"/>
        </w:rPr>
        <w:t>ADMINISTRACIÓN Y FINANZAS, LUZ ELENA GOZÁLEZ ESCOBAR.- FIRMA.</w:t>
      </w:r>
    </w:p>
    <w:sectPr w:rsidR="008A3D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88"/>
    <w:rsid w:val="002228FA"/>
    <w:rsid w:val="008A3D88"/>
    <w:rsid w:val="00C06CE1"/>
    <w:rsid w:val="00F6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2835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2019-04-03T16:53:00Z</dcterms:created>
  <dcterms:modified xsi:type="dcterms:W3CDTF">2019-04-03T17:06:00Z</dcterms:modified>
</cp:coreProperties>
</file>