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reforma el artículo 37 de la Ley del Instituto del Fondo Nacional de la Vivienda para los Trabajadores.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a sus habitantes sabed:</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Honorable Congreso de la Unión, se ha servido dirigirme el siguiente</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09">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w:t>
      </w:r>
      <w:r w:rsidDel="00000000" w:rsidR="00000000" w:rsidRPr="00000000">
        <w:rPr>
          <w:color w:val="2f2f2f"/>
          <w:sz w:val="16"/>
          <w:szCs w:val="16"/>
          <w:rtl w:val="0"/>
        </w:rPr>
        <w:t xml:space="preserve">EL CONGRESO GENERAL DE LOS ESTADOS UNIDOS MEXICANOS, DECRETA:</w:t>
      </w:r>
    </w:p>
    <w:p w:rsidR="00000000" w:rsidDel="00000000" w:rsidP="00000000" w:rsidRDefault="00000000" w:rsidRPr="00000000" w14:paraId="0000000A">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SE REFORMA EL ARTÍCULO 37 DE LA LEY DEL INSTITUTO DEL FONDO NACIONAL DE LA VIVIENDA PARA LOS TRABAJADORES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 </w:t>
      </w:r>
      <w:r w:rsidDel="00000000" w:rsidR="00000000" w:rsidRPr="00000000">
        <w:rPr>
          <w:color w:val="2f2f2f"/>
          <w:sz w:val="18"/>
          <w:szCs w:val="18"/>
          <w:rtl w:val="0"/>
        </w:rPr>
        <w:t xml:space="preserve">Se reforma el artículo 37 de la Ley del Instituto del Fondo Nacional de la Vivienda para los Trabajadores, para quedar como sigue: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37.- </w:t>
      </w:r>
      <w:r w:rsidDel="00000000" w:rsidR="00000000" w:rsidRPr="00000000">
        <w:rPr>
          <w:color w:val="2f2f2f"/>
          <w:sz w:val="18"/>
          <w:szCs w:val="18"/>
          <w:rtl w:val="0"/>
        </w:rPr>
        <w:t xml:space="preserve">El derecho a recibir los recursos de la subcuenta de vivienda en los términos descritos en el artículo 40, cuando no sea ejercido por el trabajador y, en su caso, sus beneficiarios, una vez transcurridos los diez años de que sean exigibles, se sujetará a las condiciones descritas en el presente artículo.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Dentro del año previo al que se cumpla el plazo de diez años señalado en el párrafo anterior, el Instituto hará del conocimiento al trabajador y, en su caso, sus beneficiarios, un aviso sobre el tiempo que ha transcurrido desde que el derecho era exigible, de tal forma que pueda acudir al Instituto a reclamar los recursos descritos en el artículo 40.</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aviso podrá notificarse disponiendo de cualquier medio que determine el Instituto mediante disposiciones de carácter general que deberán ser publicadas en el Diario Oficial de la Federación y en el portal de Internet del Instituto.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forma independiente a la notificación, en caso de que hayan transcurrido los diez años sin que el trabajador y, en su caso, los beneficiarios hubieren ejercido su derecho a recibir los recursos descritos en este artículo, el Instituto podrá utilizar dichos recursos para constituir una reserva financiera que será administrada por el propio Instituto.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procedimientos y requisitos que deberán cumplir los trabajadores y, en su caso, sus beneficiarios para el reclamo de los recursos que se hubieran aportado a la reserva financiera señalada en el párrafo anterior, serán determinados por el Consejo de Administración del Instituto, mediante disposiciones de carácter general que deberán ser publicadas en el Diario Oficial de la Federación y en el portal de Internet del Instituto.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trabajador y, en su caso, sus beneficiarios podrán acceder al mecanismo de reclamación de forma permanente, y de ser procedente, el Instituto reconocerá los montos a pagar, considerando los intereses que correspondan en términos de los lineamientos.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suficiencia de la Reserva Financiera, deberá ser dictaminada de forma anual, por un tercero independiente, designado por el Consejo de Administración del Instituto.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tomará las medidas necesarias para atender, en todo momento, las reclamaciones que puedan presentarse por los trabajadores y sus beneficiarios.</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presente Decreto entrará en vigor el día siguiente al de su publicación en el Diario Oficial de la Federación.</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Ciudad de México, a 9 de diciembre de 2020.- Dip. </w:t>
      </w:r>
      <w:r w:rsidDel="00000000" w:rsidR="00000000" w:rsidRPr="00000000">
        <w:rPr>
          <w:b w:val="1"/>
          <w:color w:val="2f2f2f"/>
          <w:sz w:val="18"/>
          <w:szCs w:val="18"/>
          <w:rtl w:val="0"/>
        </w:rPr>
        <w:t xml:space="preserve">Dulce María Sauri Riancho</w:t>
      </w:r>
      <w:r w:rsidDel="00000000" w:rsidR="00000000" w:rsidRPr="00000000">
        <w:rPr>
          <w:color w:val="2f2f2f"/>
          <w:sz w:val="18"/>
          <w:szCs w:val="18"/>
          <w:rtl w:val="0"/>
        </w:rPr>
        <w:t xml:space="preserve">, Presidenta.- Sen. </w:t>
      </w:r>
      <w:r w:rsidDel="00000000" w:rsidR="00000000" w:rsidRPr="00000000">
        <w:rPr>
          <w:b w:val="1"/>
          <w:color w:val="2f2f2f"/>
          <w:sz w:val="18"/>
          <w:szCs w:val="18"/>
          <w:rtl w:val="0"/>
        </w:rPr>
        <w:t xml:space="preserve">Oscar Eduardo Ramírez Aguilar</w:t>
      </w:r>
      <w:r w:rsidDel="00000000" w:rsidR="00000000" w:rsidRPr="00000000">
        <w:rPr>
          <w:color w:val="2f2f2f"/>
          <w:sz w:val="18"/>
          <w:szCs w:val="18"/>
          <w:rtl w:val="0"/>
        </w:rPr>
        <w:t xml:space="preserve">, Presidente.- Dip. </w:t>
      </w:r>
      <w:r w:rsidDel="00000000" w:rsidR="00000000" w:rsidRPr="00000000">
        <w:rPr>
          <w:b w:val="1"/>
          <w:color w:val="2f2f2f"/>
          <w:sz w:val="18"/>
          <w:szCs w:val="18"/>
          <w:rtl w:val="0"/>
        </w:rPr>
        <w:t xml:space="preserve">Mónica Bautista Rodríguez</w:t>
      </w:r>
      <w:r w:rsidDel="00000000" w:rsidR="00000000" w:rsidRPr="00000000">
        <w:rPr>
          <w:color w:val="2f2f2f"/>
          <w:sz w:val="18"/>
          <w:szCs w:val="18"/>
          <w:rtl w:val="0"/>
        </w:rPr>
        <w:t xml:space="preserve">, Secretaria.- Sen. </w:t>
      </w:r>
      <w:r w:rsidDel="00000000" w:rsidR="00000000" w:rsidRPr="00000000">
        <w:rPr>
          <w:b w:val="1"/>
          <w:color w:val="2f2f2f"/>
          <w:sz w:val="18"/>
          <w:szCs w:val="18"/>
          <w:rtl w:val="0"/>
        </w:rPr>
        <w:t xml:space="preserve">Lilia Margarita Valdez Martínez</w:t>
      </w:r>
      <w:r w:rsidDel="00000000" w:rsidR="00000000" w:rsidRPr="00000000">
        <w:rPr>
          <w:color w:val="2f2f2f"/>
          <w:sz w:val="18"/>
          <w:szCs w:val="18"/>
          <w:rtl w:val="0"/>
        </w:rPr>
        <w:t xml:space="preserve">, Secretaria.- Rúbricas.</w:t>
      </w:r>
      <w:r w:rsidDel="00000000" w:rsidR="00000000" w:rsidRPr="00000000">
        <w:rPr>
          <w:b w:val="1"/>
          <w:color w:val="2f2f2f"/>
          <w:sz w:val="18"/>
          <w:szCs w:val="18"/>
          <w:rtl w:val="0"/>
        </w:rPr>
        <w:t xml:space="preserve">"</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15 de diciembre de 2020.-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La Secretaria de Gobernación, Dra.</w:t>
      </w:r>
      <w:r w:rsidDel="00000000" w:rsidR="00000000" w:rsidRPr="00000000">
        <w:rPr>
          <w:b w:val="1"/>
          <w:color w:val="2f2f2f"/>
          <w:sz w:val="18"/>
          <w:szCs w:val="18"/>
          <w:rtl w:val="0"/>
        </w:rPr>
        <w:t xml:space="preserve"> Olga María del Carmen Sánchez Cordero Dávila</w:t>
      </w:r>
      <w:r w:rsidDel="00000000" w:rsidR="00000000" w:rsidRPr="00000000">
        <w:rPr>
          <w:color w:val="2f2f2f"/>
          <w:sz w:val="18"/>
          <w:szCs w:val="18"/>
          <w:rtl w:val="0"/>
        </w:rPr>
        <w:t xml:space="preserve">.- Rúbrica.</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9">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