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ecreto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establece la Tasa Aplicable del Impuesto General de Importación para las mercancías originarias de América del Norte</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Presidente de los Estados Unidos Mexicanos, en ejercicio de la facultad qu</w:t>
      </w:r>
      <w:bookmarkStart w:id="0" w:name="_GoBack"/>
      <w:bookmarkEnd w:id="0"/>
      <w:r>
        <w:rPr>
          <w:rFonts w:hint="default" w:ascii="Verdana Regular" w:hAnsi="Verdana Regular" w:eastAsia="SimSun" w:cs="Verdana Regular"/>
          <w:i w:val="0"/>
          <w:caps w:val="0"/>
          <w:color w:val="2F2F2F"/>
          <w:spacing w:val="0"/>
          <w:kern w:val="0"/>
          <w:sz w:val="20"/>
          <w:szCs w:val="20"/>
          <w:shd w:val="clear" w:fill="FFFFFF"/>
          <w:lang w:val="en-US" w:eastAsia="zh-CN" w:bidi="ar"/>
        </w:rPr>
        <w:t>e me confiere el artículo 89, fracción I de la Constitución Política de los Estados Unidos Mexicanos, con fundamento en los artículos 131 y 133 de la propia Constitución; 31 y 34 de la Ley Orgánica de la Administración Pública Federal, y 2o., 4o., fracción I y 14 de la Ley de Comercio Exterior,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mismo que entró en vigor el 1o. de julio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las Listas Arancelarias establecidas en el Anexo 2-B "Compromisos Arancelarios" del Capítulo 2 "Trato Nacional y Acceso de Mercancías al Mercado" del Tratado entre los Estados Unidos Mexicanos, los Estados Unidos de América y Canadá (T-MEC) establecen la tasa preferencial de los aranceles aduaneros para el comercio entre los Estados Unidos Mexicanos (México), los Estados Unidos de América (Estados Unidos) y Canadá, sobre mercancías originarias de los territorios de las Partes (América del Norte);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30 de junio de 2020 se publicó en el Diario Oficial de la Federación el Decreto por el que se establece la Tasa Aplicable del Impuesto General de Importación para las mercancías originarias de América del Norte, con el propósito de dar a conocer las condiciones arancelarias y los mecanismos que regirán la importación de las mercancías originarias de América del Norte a partir de la entrada en vigor del T-MEC;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las tasas arancelarias preferenciales establecidas en ese Decreto no impiden el establecimiento de nuevos aranceles para el comercio trilateral, cuando ello derive de una salvaguarda, de una compensación contra una salvaguarda legítima impuesta por otra de las Partes o de una suspensión de beneficios contra una de las Partes;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las disposiciones de la Ley de Comercio Exterior permiten el establecimiento de cuotas compensatorias contra prácticas desleales de comercio internacional, ya sea para compensar daños causados por subvenciones en el país exportador, o para compensar daños causados por la importación de mercancías en condiciones de discriminación de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las tasas arancelarias preferenciales establecidas en el T-MEC no eximen de las restricciones ni liberan del cumplimiento de regulaciones y restricciones no arancelarias, de los requisitos previos de importación establecidos por la Secretaría de Economía o cualquier otra dependencia en el ámbito de sus facultades, de los requisitos de Normas Oficiales Mexicanas o para tramitar el despacho aduanero de mercancías, entre otras, siempre que estén de conformidad con los compromisos internacionales adquiridos por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 de julio de 2020 se publicó en el Diario Oficial de la Federación el Decreto por el que se expide la Ley de los Impuestos Generales de Importación y de Exportación, y se reforman y adicionan diversas disposiciones de la Ley Aduanera (Decreto),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razón de lo anterior, y con el propósito de armonizar las disposiciones jurídicas que regirán la importación de las mercancías originarias de América del Norte a partir del 28 de diciembre de 2020, atentos a las adecuaciones a la Ley de los Impuestos Generales de Importación y de Exportación,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w:t>
      </w:r>
      <w:r>
        <w:rPr>
          <w:rFonts w:hint="default" w:ascii="Verdana Regular" w:hAnsi="Verdana Regular" w:eastAsia="SimSun" w:cs="Verdana Regular"/>
          <w:i w:val="0"/>
          <w:caps w:val="0"/>
          <w:color w:val="2F2F2F"/>
          <w:spacing w:val="0"/>
          <w:kern w:val="0"/>
          <w:sz w:val="20"/>
          <w:szCs w:val="20"/>
          <w:shd w:val="clear" w:fill="FFFFFF"/>
          <w:lang w:val="en-US" w:eastAsia="zh-CN" w:bidi="ar"/>
        </w:rPr>
        <w:t> La importación de mercancías originarias de América del Norte, independientemente de su clasificación en la Tarifa de la Ley de los Impuestos Generales de Importación y de Exportación, estará exenta del pago de arancel, salvo aquellas mercancías en que se indique lo contrario en el presente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2.-</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los efectos del presente Decreto, se entiende por mercancías originarias de América del Norte, independientemente de su lugar de procedencia, las que cumplan con lo establecido en el Capítulo 4 "Reglas de Origen" del T-MEC, y con otros requisitos y disposiciones aplicables de dicho Tratado, incluyendo lo establecido en el párrafo 4 de las Notas Generales de la Lista Arancelaria de México del Anexo 2-B "Compromisos Arancelarios" del Capítulo 2 "Trato Nacional y Acceso de Mercancías al Mercado" del T-MEC.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3.-</w:t>
      </w:r>
      <w:r>
        <w:rPr>
          <w:rFonts w:hint="default" w:ascii="Verdana Regular" w:hAnsi="Verdana Regular" w:eastAsia="SimSun" w:cs="Verdana Regular"/>
          <w:i w:val="0"/>
          <w:caps w:val="0"/>
          <w:color w:val="2F2F2F"/>
          <w:spacing w:val="0"/>
          <w:kern w:val="0"/>
          <w:sz w:val="20"/>
          <w:szCs w:val="20"/>
          <w:shd w:val="clear" w:fill="FFFFFF"/>
          <w:lang w:val="en-US" w:eastAsia="zh-CN" w:bidi="ar"/>
        </w:rPr>
        <w:t> Estarán exentas del pago del arancel las mercancías no originarias de América del Norte, comprendidas en los capítulos 52 al 55, 58 y 60 al 63 de la Tarifa de la Ley de los Impuestos Generales de Importación y de Exportación, la subpartida 9404.90 y mercancías textiles o prendas de vestir, excepto los de guata, de la partida 96.19, que cumplan con las disposiciones del Anexo 6-A "Disposiciones Especiales" del Capítulo 6 "Mercancías Textiles y Prendas de Vestir" del T-MEC, siempre que el importador anexe al pedimento de importación, para mercancías textiles y prendas de vestir procedentes de Estados Unidos y Canadá, un certificado de elegibilidad expedido por la Secretaría de Economía, o un certificado de elegibilidad expedido por el Gobierno de Canadá,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4.-</w:t>
      </w:r>
      <w:r>
        <w:rPr>
          <w:rFonts w:hint="default" w:ascii="Verdana Regular" w:hAnsi="Verdana Regular" w:eastAsia="SimSun" w:cs="Verdana Regular"/>
          <w:i w:val="0"/>
          <w:caps w:val="0"/>
          <w:color w:val="2F2F2F"/>
          <w:spacing w:val="0"/>
          <w:kern w:val="0"/>
          <w:sz w:val="20"/>
          <w:szCs w:val="20"/>
          <w:shd w:val="clear" w:fill="FFFFFF"/>
          <w:lang w:val="en-US" w:eastAsia="zh-CN" w:bidi="ar"/>
        </w:rPr>
        <w:t> La importación de mercancías comprendidas en las fracciones arancelarias listadas en este artículo que provengan de Canadá o que no sean mercancías calificadas de Estados Unidos, conforme a lo dispuesto en el Anexo 3-B "Comercio Agrícola entre México y Estados Unidos" del Capítulo 3 "Agricultura" del T-MEC, estará sujeta a la tasa prevista en el artículo 1o. de la Ley de los Impuestos Generales de Importación y de Exportación, sin reducción alguna:</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61"/>
        <w:gridCol w:w="4396"/>
        <w:gridCol w:w="2615"/>
      </w:tblGrid>
      <w:tr>
        <w:trPr>
          <w:trHeight w:val="315" w:hRule="atLeast"/>
        </w:trPr>
        <w:tc>
          <w:tcPr>
            <w:tcW w:w="1366"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Fracción</w:t>
            </w:r>
          </w:p>
        </w:tc>
        <w:tc>
          <w:tcPr>
            <w:tcW w:w="4676"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Descripción</w:t>
            </w:r>
          </w:p>
        </w:tc>
        <w:tc>
          <w:tcPr>
            <w:tcW w:w="2670"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Observaciones</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0105.11.03</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Recién nacidos, de tres días o menos.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Únicamente: Cuando no necesiten alimento durante su transporte.</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0105.94.01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Gallos de pelea.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0105.94.99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0105.99.99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0207.11.01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trocear,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0207.12.01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trocear, congelados.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0207.13.04</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Trozos y despojos,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0207.14.02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Hígados.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0207.14.99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0207.24.01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trocear,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0207.25.01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trocear, congelados.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0207.26.03</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Trozos y despojos,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0207.27.02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Hígados.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0207.27.99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0207.41.01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trocear,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0207.44.01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rPr>
          <w:rFonts w:hint="default" w:ascii="Verdana Regular" w:hAnsi="Verdana Regular" w:cs="Verdana Regular"/>
          <w:vanish/>
          <w:sz w:val="20"/>
          <w:szCs w:val="20"/>
        </w:rPr>
      </w:pP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61"/>
        <w:gridCol w:w="4448"/>
        <w:gridCol w:w="2563"/>
      </w:tblGrid>
      <w:tr>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0207.45.01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Hígados.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0207.51.01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trocear,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0207.54.01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frescos o refrigerados.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0207.55.01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Hígados.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0207.60.03</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pintada.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Excepto: Sin trocear, congeladas.</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0209.90.01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gallo, gallina o pavo (gallipavo).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0210.99.99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Excepto: Vísceras o labios de bovinos, salados o salpresos.</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0401.10.02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materias grasas inferior o igual al 1% en peso.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0401.20.02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materias grasas superior al 1% pero inferior o igual al 6%, en peso.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0401.40.02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materias grasas superior al 6% pero inferior o igual al 10%, en peso.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0401.50.02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materias grasas superior al 10% en peso.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0402.10.01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Leche en polvo o en pastillas.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0402.10.99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0402.21.01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Leche en polvo o en pastillas.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0402.21.99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0402.29.99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0402.91.01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Leche evaporada.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0402.91.99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0402.99.01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Leche condensada.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0402.99.99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0403.10.01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Yogur.</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0403.90.99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0404.10.01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Suero de leche en polvo, con contenido de proteínas igual o inferior a 12.5%.</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0404.10.99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0404.90.99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0405.10.02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Mantequilla (manteca).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0405.20.01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Pastas lácteas para untar.</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0405.90.01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Grasa butírica deshidratada.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0405.90.99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48"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0406.10.01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Queso fresco (sin madurar), incluido el del lactosuero, y requesón.</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0406.20.01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Queso de cualquier tipo, rallado o en polvo.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0406.30.02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Queso fundido, excepto el rallado o en polvo.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48"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0406.40.01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Queso de pasta azul y demás quesos que presenten vetas producidas por </w:t>
            </w:r>
            <w:r>
              <w:rPr>
                <w:rFonts w:hint="default" w:ascii="Verdana Regular" w:hAnsi="Verdana Regular" w:eastAsia="SimSun" w:cs="Verdana Regular"/>
                <w:i/>
                <w:caps w:val="0"/>
                <w:color w:val="000000"/>
                <w:spacing w:val="0"/>
                <w:kern w:val="0"/>
                <w:sz w:val="20"/>
                <w:szCs w:val="20"/>
                <w:lang w:val="en-US" w:eastAsia="zh-CN" w:bidi="ar"/>
              </w:rPr>
              <w:t>Penicillium roqueforti</w:t>
            </w:r>
            <w:r>
              <w:rPr>
                <w:rFonts w:hint="default" w:ascii="Verdana Regular" w:hAnsi="Verdana Regular" w:eastAsia="SimSun" w:cs="Verdana Regular"/>
                <w:i w:val="0"/>
                <w:caps w:val="0"/>
                <w:color w:val="000000"/>
                <w:spacing w:val="0"/>
                <w:kern w:val="0"/>
                <w:sz w:val="20"/>
                <w:szCs w:val="20"/>
                <w:lang w:val="en-US" w:eastAsia="zh-CN" w:bidi="ar"/>
              </w:rPr>
              <w:t>.</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48"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0406.90.01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pasta dura, denominado Sardo, cuando su presentación así lo indique.</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48"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0406.90.02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pasta dura, denominado Reggiano o Reggianito, cuando su presentación así lo indique.</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rPr>
          <w:rFonts w:hint="default" w:ascii="Verdana Regular" w:hAnsi="Verdana Regular" w:cs="Verdana Regular"/>
          <w:vanish/>
          <w:sz w:val="20"/>
          <w:szCs w:val="20"/>
        </w:rPr>
      </w:pP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60"/>
        <w:gridCol w:w="4466"/>
        <w:gridCol w:w="2546"/>
      </w:tblGrid>
      <w:tr>
        <w:trPr>
          <w:trHeight w:val="18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0406.90.04</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0406.90.99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0407.11.01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gallina de la especie </w:t>
            </w:r>
            <w:r>
              <w:rPr>
                <w:rFonts w:hint="default" w:ascii="Verdana Regular" w:hAnsi="Verdana Regular" w:eastAsia="SimSun" w:cs="Verdana Regular"/>
                <w:i/>
                <w:caps w:val="0"/>
                <w:color w:val="000000"/>
                <w:spacing w:val="0"/>
                <w:kern w:val="0"/>
                <w:sz w:val="20"/>
                <w:szCs w:val="20"/>
                <w:lang w:val="en-US" w:eastAsia="zh-CN" w:bidi="ar"/>
              </w:rPr>
              <w:t>Gallus domesticus</w:t>
            </w:r>
            <w:r>
              <w:rPr>
                <w:rFonts w:hint="default" w:ascii="Verdana Regular" w:hAnsi="Verdana Regular" w:eastAsia="SimSun" w:cs="Verdana Regular"/>
                <w:i w:val="0"/>
                <w:caps w:val="0"/>
                <w:color w:val="000000"/>
                <w:spacing w:val="0"/>
                <w:kern w:val="0"/>
                <w:sz w:val="20"/>
                <w:szCs w:val="20"/>
                <w:lang w:val="en-US" w:eastAsia="zh-CN" w:bidi="ar"/>
              </w:rPr>
              <w:t>.</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0407.19.99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0407.21.02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gallina de la especie </w:t>
            </w:r>
            <w:r>
              <w:rPr>
                <w:rFonts w:hint="default" w:ascii="Verdana Regular" w:hAnsi="Verdana Regular" w:eastAsia="SimSun" w:cs="Verdana Regular"/>
                <w:i/>
                <w:caps w:val="0"/>
                <w:color w:val="000000"/>
                <w:spacing w:val="0"/>
                <w:kern w:val="0"/>
                <w:sz w:val="20"/>
                <w:szCs w:val="20"/>
                <w:lang w:val="en-US" w:eastAsia="zh-CN" w:bidi="ar"/>
              </w:rPr>
              <w:t>Gallus domesticus</w:t>
            </w:r>
            <w:r>
              <w:rPr>
                <w:rFonts w:hint="default" w:ascii="Verdana Regular" w:hAnsi="Verdana Regular" w:eastAsia="SimSun" w:cs="Verdana Regular"/>
                <w:i w:val="0"/>
                <w:caps w:val="0"/>
                <w:color w:val="000000"/>
                <w:spacing w:val="0"/>
                <w:kern w:val="0"/>
                <w:sz w:val="20"/>
                <w:szCs w:val="20"/>
                <w:lang w:val="en-US" w:eastAsia="zh-CN" w:bidi="ar"/>
              </w:rPr>
              <w:t>.</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0407.29.01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consumo humano.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0407.29.99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0407.90.99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0408.11.01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Secas.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0408.19.99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0408.91.02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Secos.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0408.99.02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Huevos de aves marinas guaneras.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0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0408.99.99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1601.00.03</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Embutidos y productos similares de carne, despojos o sangre; preparaciones alimenticias a base de estos productos.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Únicamente: De gallo, gallina o pavo (gallipavo).</w:t>
            </w:r>
          </w:p>
        </w:tc>
      </w:tr>
      <w:tr>
        <w:tblPrEx>
          <w:shd w:val="clear" w:color="auto" w:fill="FFFFFF"/>
        </w:tblPrEx>
        <w:trPr>
          <w:trHeight w:val="52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1602.10.02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Preparaciones homogeneizadas.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Únicamente: De gallo, gallina o pavo (gallipavo).</w:t>
            </w:r>
          </w:p>
        </w:tc>
      </w:tr>
      <w:tr>
        <w:tblPrEx>
          <w:shd w:val="clear" w:color="auto" w:fill="FFFFFF"/>
        </w:tblPrEx>
        <w:trPr>
          <w:trHeight w:val="548"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1602.20.02</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hígado de cualquier animal.</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Únicamente: De gallo, gallina o pavo (gallipavo).</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1602.31.01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pavo (gallipavo).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1602.32.01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aves de la especie Gallus domesticus.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1602.39.99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1701.12.05</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remolacha.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548"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1701.13.01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de caña mencionado en la Nota 2 de subpartida de este Capítulo.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1701.14.05</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azúcares de caña.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1701.91.04</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adición de aromatizante o colorante.</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1702.90.01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líquida refinada y azúcar invertido.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314"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1806.10.01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azúcar igual o superior al 90%, en peso.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96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1901.90.03</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Preparaciones a base de productos lácteos con un contenido de sólidos lácteos superior al 10%, pero inferior o igual a 50%, en peso, excepto las comprendidas en la fracción arancelaria 1901.90.04.</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11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1901.90.04</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6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1901.90.05</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Preparaciones a base de productos lácteos con un contenido de sólidos lácteos superior al 50%, en peso, excepto las comprendidas en la fracción arancelaria 1901.90.04.</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rPr>
          <w:rFonts w:hint="default" w:ascii="Verdana Regular" w:hAnsi="Verdana Regular" w:cs="Verdana Regular"/>
          <w:vanish/>
          <w:sz w:val="20"/>
          <w:szCs w:val="20"/>
        </w:rPr>
      </w:pP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61"/>
        <w:gridCol w:w="4421"/>
        <w:gridCol w:w="2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2105.00.01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Helados, incluso con cacao.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2106.90.05</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Jarabes aromatizados o con adición de colorantes.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2106.90.09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Preparaciones a base de huevo.</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2309.90.99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Únicamente: Alimentos preparados con un contenido de sólidos lácteos superior al 50%,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3501.10.01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Caseína.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3501.90.01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Colas de caseína.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3501.90.03</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Carboximetil caseina, grado fotográfico, en solución.</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3501.90.99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0"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3502.11.01</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Seca.</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36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3502.19.99</w:t>
            </w:r>
          </w:p>
        </w:tc>
        <w:tc>
          <w:tcPr>
            <w:tcW w:w="467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c>
          <w:tcPr>
            <w:tcW w:w="267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5.-</w:t>
      </w:r>
      <w:r>
        <w:rPr>
          <w:rFonts w:hint="default" w:ascii="Verdana Regular" w:hAnsi="Verdana Regular" w:eastAsia="SimSun" w:cs="Verdana Regular"/>
          <w:i w:val="0"/>
          <w:caps w:val="0"/>
          <w:color w:val="2F2F2F"/>
          <w:spacing w:val="0"/>
          <w:kern w:val="0"/>
          <w:sz w:val="20"/>
          <w:szCs w:val="20"/>
          <w:shd w:val="clear" w:fill="FFFFFF"/>
          <w:lang w:val="en-US" w:eastAsia="zh-CN" w:bidi="ar"/>
        </w:rPr>
        <w:t> La importación de mercancías originarias de América del Norte comprendidas en las fracciones arancelarias señaladas en este artículo, estará libre de arancel siempre que se trate de mercancías calificadas de los Estados Unidos o de México, conforme al Anexo 3-B "Comercio Agrícola entre México y Estados Unidos" del Capítulo 3 "Agricultura" del T-MEC, y que el importador cuente con una declaración escrita del exportador, que certifique que las mercancías a importar no se han beneficiado del programa </w:t>
      </w:r>
      <w:r>
        <w:rPr>
          <w:rFonts w:hint="default" w:ascii="Verdana Regular" w:hAnsi="Verdana Regular" w:eastAsia="SimSun" w:cs="Verdana Regular"/>
          <w:i/>
          <w:caps w:val="0"/>
          <w:color w:val="2F2F2F"/>
          <w:spacing w:val="0"/>
          <w:kern w:val="0"/>
          <w:sz w:val="20"/>
          <w:szCs w:val="20"/>
          <w:shd w:val="clear" w:fill="FFFFFF"/>
          <w:lang w:val="en-US" w:eastAsia="zh-CN" w:bidi="ar"/>
        </w:rPr>
        <w:t>Sugar Reexport Program</w:t>
      </w:r>
      <w:r>
        <w:rPr>
          <w:rFonts w:hint="default" w:ascii="Verdana Regular" w:hAnsi="Verdana Regular" w:eastAsia="SimSun" w:cs="Verdana Regular"/>
          <w:i w:val="0"/>
          <w:caps w:val="0"/>
          <w:color w:val="2F2F2F"/>
          <w:spacing w:val="0"/>
          <w:kern w:val="0"/>
          <w:sz w:val="20"/>
          <w:szCs w:val="20"/>
          <w:shd w:val="clear" w:fill="FFFFFF"/>
          <w:lang w:val="en-US" w:eastAsia="zh-CN" w:bidi="ar"/>
        </w:rPr>
        <w:t> de los Estados Unidos. En caso de que no se cuente con la declaración correspondiente, la importación estará sujeta a la tasa establecida en el artículo 1o. de la Ley de los Impuestos Generales de Importación y de Exportación, vigente al momento de su importación, sin reducción alguna:</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4"/>
        <w:gridCol w:w="6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549"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Fracción</w:t>
            </w:r>
          </w:p>
        </w:tc>
        <w:tc>
          <w:tcPr>
            <w:tcW w:w="7163"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Descripción</w:t>
            </w:r>
          </w:p>
        </w:tc>
      </w:tr>
      <w:tr>
        <w:tblPrEx>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0402.10.99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0402.29.99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0402.99.01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Leche condensada.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0402.99.99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0404.10.99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0405.20.01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Pastas lácteas para untar.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0811.10.01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Fresas (frutillas).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0811.20.01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Frambuesas, zarzamoras, moras, moras-frambuesa y grosellas.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0811.90.99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1701.12.05</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remolacha.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1701.13.01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de caña mencionado en la Nota 2 de subpartida de este Capítulo.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1701.14.05</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azúcares de caña.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1701.91.04</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adición de aromatizante o colorante.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1701.99.99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4"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1702.90.01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líquida refinada y azúcar invertido.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1703.10.01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Melaza de caña.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1703.90.99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1704.10.01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Chicles y demás gomas de mascar, incluso recubiertos de azúcar.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1704.90.99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azúcar igual o superior al 90%,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1806.10.99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4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1806.20.01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preparaciones, en bloques, tabletas o barras con peso superior a 2 kg o en forma líquida, pastosa o en polvo, gránulos o formas similares, en recipientes o en envases inmediatos con un contenido superior a 2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1806.31.01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Rellenos.</w:t>
            </w:r>
          </w:p>
        </w:tc>
      </w:tr>
    </w:tbl>
    <w:p>
      <w:pPr>
        <w:rPr>
          <w:rFonts w:hint="default" w:ascii="Verdana Regular" w:hAnsi="Verdana Regular" w:cs="Verdana Regular"/>
          <w:vanish/>
          <w:sz w:val="20"/>
          <w:szCs w:val="20"/>
        </w:rPr>
      </w:pP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2"/>
        <w:gridCol w:w="6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1806.32.01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rellenar.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1806.90.99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1901.20.99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1901.90.99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1904.10.01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Productos a base de cereales obtenidos por inflado o tostado.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1904.20.01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Preparaciones alimenticias obtenidas con copos de cereales sin tostar o con mezclas de copos de cereales sin tostar y copos de cereales tostados o cereales inflados.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1905.31.01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Galletas dulces (con adición de edulcorante).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1905.32.01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Barquillos y obleas, incluso rellenos ("gaufrettes", "wafers") y "waffles" ("gaufres").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2006.00.99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2007.10.01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Preparaciones homogeneizadas.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2007.91.01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agrios (cítricos).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2007.99.99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2105.00.01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Helados, incluso con cacao.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2106.90.05</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Jarabes aromatizados o con adición de colorantes.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2106.90.99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2202.10.01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Agua, incluidas el agua mineral y la gaseada, con adición de azúcar u otro edulcorante o aromatizada.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2202.99.99</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2207.10.01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Alcohol etílico sin desnaturalizar con grado alcohólico volumétrico superior o igual al 80% vol.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2207.20.01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Alcohol etílico y aguardiente desnaturalizados, de cualquier graduación.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0"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2918.15.01</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Citrato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5"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2918.15.02</w:t>
            </w:r>
          </w:p>
        </w:tc>
        <w:tc>
          <w:tcPr>
            <w:tcW w:w="7163"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Citrato férrico amónico.</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6.-</w:t>
      </w:r>
      <w:r>
        <w:rPr>
          <w:rFonts w:hint="default" w:ascii="Verdana Regular" w:hAnsi="Verdana Regular" w:eastAsia="SimSun" w:cs="Verdana Regular"/>
          <w:i w:val="0"/>
          <w:caps w:val="0"/>
          <w:color w:val="2F2F2F"/>
          <w:spacing w:val="0"/>
          <w:kern w:val="0"/>
          <w:sz w:val="20"/>
          <w:szCs w:val="20"/>
          <w:shd w:val="clear" w:fill="FFFFFF"/>
          <w:lang w:val="en-US" w:eastAsia="zh-CN" w:bidi="ar"/>
        </w:rPr>
        <w:t> Lo dispuesto en el presente Decreto no libera del pago de arancel alguno establecido mediante Decreto del Ejecutivo Federal, de conformidad con los Capítulos 10 "Remedios Comerciales" y 31 "Solución de Controversias" del T-MEC.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7.-</w:t>
      </w:r>
      <w:r>
        <w:rPr>
          <w:rFonts w:hint="default" w:ascii="Verdana Regular" w:hAnsi="Verdana Regular" w:eastAsia="SimSun" w:cs="Verdana Regular"/>
          <w:i w:val="0"/>
          <w:caps w:val="0"/>
          <w:color w:val="2F2F2F"/>
          <w:spacing w:val="0"/>
          <w:kern w:val="0"/>
          <w:sz w:val="20"/>
          <w:szCs w:val="20"/>
          <w:shd w:val="clear" w:fill="FFFFFF"/>
          <w:lang w:val="en-US" w:eastAsia="zh-CN" w:bidi="ar"/>
        </w:rPr>
        <w:t> Lo dispuesto en el presente Decreto no libera del pago de cuotas compensatorias por prácticas desleales de comercio internacional, establecidas conforme a la Ley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8.-</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disposiciones del presente Decreto no liberan al importador del cumplimiento de medidas de regulación y restricción no arancelarias en los términos de la Ley de Comercio Exterior, la Ley Aduanera y demás ordenamientos jurídicos aplicables.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Decreto entrará en vigor el 28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A partir de la entrada en vigor del presente instrumento, se abroga el Decreto por el que se establece la Tasa Aplicable del Impuesto General de Importación para las mercancías originarias de América del Norte, publicado en el Diario Oficial de la Federación el 30 de junio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Dado en la residencia del Poder Ejecutivo Federal, en la Ciudad de México, a 23 de diciembre de 2020.-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El Secretario de Hacienda y Crédito Público,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Arturo Herrera Gutiérrez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Graciela Márquez Colín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7B6C0"/>
    <w:rsid w:val="FDB7B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2020-12-24T10:39:00Z</dcterms:created>
  <dc:creator>allanmorgan</dc:creator>
  <cp:lastModifiedBy>allanmorgan</cp:lastModifiedBy>
  <dcterms:modified xsi:type="dcterms:W3CDTF">2020-12-24T10:40:34Z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