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bottom w:color="000000" w:space="0" w:sz="12" w:val="single"/>
        </w:pBdr>
        <w:shd w:fill="ffffff" w:val="clear"/>
        <w:spacing w:after="0" w:before="120" w:lineRule="auto"/>
        <w:jc w:val="center"/>
        <w:rPr>
          <w:rFonts w:ascii="Verdana" w:cs="Verdana" w:eastAsia="Verdana" w:hAnsi="Verdana"/>
          <w:b w:val="1"/>
          <w:color w:val="4a86e8"/>
          <w:sz w:val="20"/>
          <w:szCs w:val="20"/>
        </w:rPr>
      </w:pPr>
      <w:bookmarkStart w:colFirst="0" w:colLast="0" w:name="_9tzc5d1fjv30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4a86e8"/>
          <w:sz w:val="20"/>
          <w:szCs w:val="20"/>
          <w:rtl w:val="0"/>
        </w:rPr>
        <w:t xml:space="preserve">Acuerdo por el que se dan a conocer los porcentajes, los montos del estímulo fiscal y las cuotas disminuidas del impuesto especial sobre producción y servicios, así como las cantidades por litro aplicables a los combustibles que se indican, correspondientes al periodo que se especifica</w:t>
        <w:br w:type="textWrapping"/>
        <w:t xml:space="preserve">(DOF 22 de marzo de 2024)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000000" w:space="0" w:sz="6" w:val="single"/>
        </w:pBdr>
        <w:shd w:fill="ffffff" w:val="clear"/>
        <w:spacing w:after="100" w:lineRule="auto"/>
        <w:jc w:val="both"/>
        <w:rPr>
          <w:rFonts w:ascii="Verdana" w:cs="Verdana" w:eastAsia="Verdana" w:hAnsi="Verdana"/>
          <w:b w:val="1"/>
          <w:color w:val="2f2f2f"/>
          <w:sz w:val="20"/>
          <w:szCs w:val="20"/>
        </w:rPr>
      </w:pPr>
      <w:bookmarkStart w:colFirst="0" w:colLast="0" w:name="_q7sh19le65ny" w:id="1"/>
      <w:bookmarkEnd w:id="1"/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Al margen un sello con el Escudo Nacional, que dice: Estados Unidos Mexicanos.- HACIENDA.- Secretaría de Hacienda y Crédito Público.</w:t>
      </w:r>
    </w:p>
    <w:p w:rsidR="00000000" w:rsidDel="00000000" w:rsidP="00000000" w:rsidRDefault="00000000" w:rsidRPr="00000000" w14:paraId="00000003">
      <w:pPr>
        <w:shd w:fill="ffffff" w:val="clear"/>
        <w:spacing w:after="100" w:before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Acuerdo 41/2024</w:t>
      </w:r>
    </w:p>
    <w:p w:rsidR="00000000" w:rsidDel="00000000" w:rsidP="00000000" w:rsidRDefault="00000000" w:rsidRPr="00000000" w14:paraId="00000004">
      <w:pPr>
        <w:shd w:fill="ffffff" w:val="clear"/>
        <w:spacing w:after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Acuerdo por el que se dan a conocer los porcentajes, los montos del estímulo fiscal y las cuotas</w:t>
      </w:r>
    </w:p>
    <w:p w:rsidR="00000000" w:rsidDel="00000000" w:rsidP="00000000" w:rsidRDefault="00000000" w:rsidRPr="00000000" w14:paraId="00000005">
      <w:pPr>
        <w:shd w:fill="ffffff" w:val="clear"/>
        <w:spacing w:after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disminuidas del impuesto especial sobre producción y servicios, así como las cantidades por litro</w:t>
      </w:r>
    </w:p>
    <w:p w:rsidR="00000000" w:rsidDel="00000000" w:rsidP="00000000" w:rsidRDefault="00000000" w:rsidRPr="00000000" w14:paraId="00000006">
      <w:pPr>
        <w:shd w:fill="ffffff" w:val="clear"/>
        <w:spacing w:after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aplicables a los combustibles que se indican, correspondientes al periodo que se especifica.</w:t>
      </w:r>
    </w:p>
    <w:p w:rsidR="00000000" w:rsidDel="00000000" w:rsidP="00000000" w:rsidRDefault="00000000" w:rsidRPr="00000000" w14:paraId="00000007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ADÁN ENRIQUE GARCÍA RAMOS, Titular de la Unidad de Política de Ingresos no Tributarios y sobre Hidrocarburos de la Secretaría de Hacienda y Crédito Público, con fundamento en lo dispuesto por el artículo Primero del Decreto por el que se establecen estímulos fiscales en materia del impuesto especial sobre producción y servicios aplicables a los combustibles que se indican, publicado en el Diario Oficial de la Federación el 27 de diciembre de 2016 y sus posteriores modificaciones, y el artículo Primero del Decreto por el que se establecen estímulos fiscales complementarios a los combustibles automotrices, publicado en el Diario Oficial de la Federación el 4 de marzo de 2022, se dan a conocer los porcentajes, los montos del estímulo fiscal y las cuotas disminuidas del impuesto especial sobre producción y servicios, así como las cantidades por litro aplicables a los combustibles automotrices, respectivamente, correspondientes al periodo comprendido del 23 de marzo al 05 de abril de 2024, mediante el siguiente</w:t>
      </w:r>
    </w:p>
    <w:p w:rsidR="00000000" w:rsidDel="00000000" w:rsidP="00000000" w:rsidRDefault="00000000" w:rsidRPr="00000000" w14:paraId="00000008">
      <w:pPr>
        <w:shd w:fill="ffffff" w:val="clear"/>
        <w:spacing w:after="100" w:before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ACUERDO</w:t>
      </w:r>
    </w:p>
    <w:p w:rsidR="00000000" w:rsidDel="00000000" w:rsidP="00000000" w:rsidRDefault="00000000" w:rsidRPr="00000000" w14:paraId="00000009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Artículo Primero. 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Los porcentajes del estímulo fiscal para el periodo comprendido del 23 de marzo al 05 de abril de 2024, aplicables a los combustibles automotrices son los siguientes: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97.911313717365"/>
        <w:gridCol w:w="4527.600497306258"/>
        <w:tblGridChange w:id="0">
          <w:tblGrid>
            <w:gridCol w:w="4497.911313717365"/>
            <w:gridCol w:w="4527.600497306258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hd w:fill="ffffff" w:val="clear"/>
              <w:spacing w:after="100" w:lineRule="auto"/>
              <w:jc w:val="center"/>
              <w:rPr>
                <w:rFonts w:ascii="Verdana" w:cs="Verdana" w:eastAsia="Verdana" w:hAnsi="Verdana"/>
                <w:b w:val="1"/>
                <w:color w:val="2f2f2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f2f2f"/>
                <w:sz w:val="20"/>
                <w:szCs w:val="20"/>
                <w:rtl w:val="0"/>
              </w:rPr>
              <w:t xml:space="preserve">Combustible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hd w:fill="ffffff" w:val="clear"/>
              <w:spacing w:after="100" w:lineRule="auto"/>
              <w:jc w:val="center"/>
              <w:rPr>
                <w:rFonts w:ascii="Verdana" w:cs="Verdana" w:eastAsia="Verdana" w:hAnsi="Verdana"/>
                <w:b w:val="1"/>
                <w:color w:val="2f2f2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f2f2f"/>
                <w:sz w:val="20"/>
                <w:szCs w:val="20"/>
                <w:rtl w:val="0"/>
              </w:rPr>
              <w:t xml:space="preserve">Porcentaje de Estímulo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hd w:fill="ffffff" w:val="clear"/>
              <w:spacing w:after="100" w:lineRule="auto"/>
              <w:jc w:val="both"/>
              <w:rPr>
                <w:rFonts w:ascii="Verdana" w:cs="Verdana" w:eastAsia="Verdana" w:hAnsi="Verdana"/>
                <w:color w:val="2f2f2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f2f2f"/>
                <w:sz w:val="20"/>
                <w:szCs w:val="20"/>
                <w:rtl w:val="0"/>
              </w:rPr>
              <w:t xml:space="preserve">Gasolina menor a 91 octanos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hd w:fill="ffffff" w:val="clear"/>
              <w:spacing w:after="100" w:lineRule="auto"/>
              <w:jc w:val="center"/>
              <w:rPr>
                <w:rFonts w:ascii="Verdana" w:cs="Verdana" w:eastAsia="Verdana" w:hAnsi="Verdana"/>
                <w:color w:val="2f2f2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f2f2f"/>
                <w:sz w:val="20"/>
                <w:szCs w:val="20"/>
                <w:rtl w:val="0"/>
              </w:rPr>
              <w:t xml:space="preserve">20.90%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hd w:fill="ffffff" w:val="clear"/>
              <w:spacing w:after="100" w:lineRule="auto"/>
              <w:jc w:val="both"/>
              <w:rPr>
                <w:rFonts w:ascii="Verdana" w:cs="Verdana" w:eastAsia="Verdana" w:hAnsi="Verdana"/>
                <w:color w:val="2f2f2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f2f2f"/>
                <w:sz w:val="20"/>
                <w:szCs w:val="20"/>
                <w:rtl w:val="0"/>
              </w:rPr>
              <w:t xml:space="preserve">Gasolina mayor o igual a 91 octanos y combustibles no fósiles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hd w:fill="ffffff" w:val="clear"/>
              <w:spacing w:after="100" w:lineRule="auto"/>
              <w:jc w:val="center"/>
              <w:rPr>
                <w:rFonts w:ascii="Verdana" w:cs="Verdana" w:eastAsia="Verdana" w:hAnsi="Verdana"/>
                <w:color w:val="2f2f2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f2f2f"/>
                <w:sz w:val="20"/>
                <w:szCs w:val="20"/>
                <w:rtl w:val="0"/>
              </w:rPr>
              <w:t xml:space="preserve">0.00%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hd w:fill="ffffff" w:val="clear"/>
              <w:spacing w:after="100" w:lineRule="auto"/>
              <w:jc w:val="both"/>
              <w:rPr>
                <w:rFonts w:ascii="Verdana" w:cs="Verdana" w:eastAsia="Verdana" w:hAnsi="Verdana"/>
                <w:color w:val="2f2f2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f2f2f"/>
                <w:sz w:val="20"/>
                <w:szCs w:val="20"/>
                <w:rtl w:val="0"/>
              </w:rPr>
              <w:t xml:space="preserve">Diésel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hd w:fill="ffffff" w:val="clear"/>
              <w:spacing w:after="100" w:lineRule="auto"/>
              <w:jc w:val="center"/>
              <w:rPr>
                <w:rFonts w:ascii="Verdana" w:cs="Verdana" w:eastAsia="Verdana" w:hAnsi="Verdana"/>
                <w:color w:val="2f2f2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f2f2f"/>
                <w:sz w:val="20"/>
                <w:szCs w:val="20"/>
                <w:rtl w:val="0"/>
              </w:rPr>
              <w:t xml:space="preserve">7.75%</w:t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Artículo Segundo. 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Los montos del estímulo fiscal para el periodo comprendido del 23 de marzo al 05 de abril de 2024, aplicables a los combustibles automotrices son los siguientes: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97.911313717365"/>
        <w:gridCol w:w="4527.600497306258"/>
        <w:tblGridChange w:id="0">
          <w:tblGrid>
            <w:gridCol w:w="4497.911313717365"/>
            <w:gridCol w:w="4527.600497306258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hd w:fill="ffffff" w:val="clear"/>
              <w:spacing w:after="100" w:lineRule="auto"/>
              <w:jc w:val="center"/>
              <w:rPr>
                <w:rFonts w:ascii="Verdana" w:cs="Verdana" w:eastAsia="Verdana" w:hAnsi="Verdana"/>
                <w:b w:val="1"/>
                <w:color w:val="2f2f2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f2f2f"/>
                <w:sz w:val="20"/>
                <w:szCs w:val="20"/>
                <w:rtl w:val="0"/>
              </w:rPr>
              <w:t xml:space="preserve">Combustible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hd w:fill="ffffff" w:val="clear"/>
              <w:spacing w:after="100" w:lineRule="auto"/>
              <w:jc w:val="center"/>
              <w:rPr>
                <w:rFonts w:ascii="Verdana" w:cs="Verdana" w:eastAsia="Verdana" w:hAnsi="Verdana"/>
                <w:b w:val="1"/>
                <w:color w:val="2f2f2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f2f2f"/>
                <w:sz w:val="20"/>
                <w:szCs w:val="20"/>
                <w:rtl w:val="0"/>
              </w:rPr>
              <w:t xml:space="preserve">Monto del estímulo fiscal</w:t>
            </w:r>
          </w:p>
          <w:p w:rsidR="00000000" w:rsidDel="00000000" w:rsidP="00000000" w:rsidRDefault="00000000" w:rsidRPr="00000000" w14:paraId="00000016">
            <w:pPr>
              <w:shd w:fill="ffffff" w:val="clear"/>
              <w:spacing w:after="100" w:lineRule="auto"/>
              <w:jc w:val="center"/>
              <w:rPr>
                <w:rFonts w:ascii="Verdana" w:cs="Verdana" w:eastAsia="Verdana" w:hAnsi="Verdana"/>
                <w:b w:val="1"/>
                <w:color w:val="2f2f2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f2f2f"/>
                <w:sz w:val="20"/>
                <w:szCs w:val="20"/>
                <w:rtl w:val="0"/>
              </w:rPr>
              <w:t xml:space="preserve">(pesos/litro)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hd w:fill="ffffff" w:val="clear"/>
              <w:spacing w:after="100" w:lineRule="auto"/>
              <w:jc w:val="both"/>
              <w:rPr>
                <w:rFonts w:ascii="Verdana" w:cs="Verdana" w:eastAsia="Verdana" w:hAnsi="Verdana"/>
                <w:color w:val="2f2f2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f2f2f"/>
                <w:sz w:val="20"/>
                <w:szCs w:val="20"/>
                <w:rtl w:val="0"/>
              </w:rPr>
              <w:t xml:space="preserve">Gasolina menor a 91 octanos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hd w:fill="ffffff" w:val="clear"/>
              <w:spacing w:after="100" w:lineRule="auto"/>
              <w:jc w:val="center"/>
              <w:rPr>
                <w:rFonts w:ascii="Verdana" w:cs="Verdana" w:eastAsia="Verdana" w:hAnsi="Verdana"/>
                <w:color w:val="2f2f2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f2f2f"/>
                <w:sz w:val="20"/>
                <w:szCs w:val="20"/>
                <w:rtl w:val="0"/>
              </w:rPr>
              <w:t xml:space="preserve">$1.2906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hd w:fill="ffffff" w:val="clear"/>
              <w:spacing w:after="100" w:lineRule="auto"/>
              <w:jc w:val="both"/>
              <w:rPr>
                <w:rFonts w:ascii="Verdana" w:cs="Verdana" w:eastAsia="Verdana" w:hAnsi="Verdana"/>
                <w:color w:val="2f2f2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f2f2f"/>
                <w:sz w:val="20"/>
                <w:szCs w:val="20"/>
                <w:rtl w:val="0"/>
              </w:rPr>
              <w:t xml:space="preserve">Gasolina mayor o igual a 91 octanos y combustibles no fósiles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hd w:fill="ffffff" w:val="clear"/>
              <w:spacing w:after="100" w:lineRule="auto"/>
              <w:jc w:val="center"/>
              <w:rPr>
                <w:rFonts w:ascii="Verdana" w:cs="Verdana" w:eastAsia="Verdana" w:hAnsi="Verdana"/>
                <w:color w:val="2f2f2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f2f2f"/>
                <w:sz w:val="20"/>
                <w:szCs w:val="20"/>
                <w:rtl w:val="0"/>
              </w:rPr>
              <w:t xml:space="preserve">$0.0000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hd w:fill="ffffff" w:val="clear"/>
              <w:spacing w:after="100" w:lineRule="auto"/>
              <w:jc w:val="both"/>
              <w:rPr>
                <w:rFonts w:ascii="Verdana" w:cs="Verdana" w:eastAsia="Verdana" w:hAnsi="Verdana"/>
                <w:color w:val="2f2f2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f2f2f"/>
                <w:sz w:val="20"/>
                <w:szCs w:val="20"/>
                <w:rtl w:val="0"/>
              </w:rPr>
              <w:t xml:space="preserve">Diésel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hd w:fill="ffffff" w:val="clear"/>
              <w:spacing w:after="100" w:lineRule="auto"/>
              <w:jc w:val="center"/>
              <w:rPr>
                <w:rFonts w:ascii="Verdana" w:cs="Verdana" w:eastAsia="Verdana" w:hAnsi="Verdana"/>
                <w:color w:val="2f2f2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f2f2f"/>
                <w:sz w:val="20"/>
                <w:szCs w:val="20"/>
                <w:rtl w:val="0"/>
              </w:rPr>
              <w:t xml:space="preserve">$0.5259</w:t>
            </w:r>
          </w:p>
        </w:tc>
      </w:tr>
    </w:tbl>
    <w:p w:rsidR="00000000" w:rsidDel="00000000" w:rsidP="00000000" w:rsidRDefault="00000000" w:rsidRPr="00000000" w14:paraId="0000001D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Artículo Tercero.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Las cuotas para el periodo comprendido del 23 de marzo al 05 de abril de 2024, aplicables a los combustibles automotrices son las siguientes:</w:t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2.755905511812"/>
        <w:gridCol w:w="4512.755905511812"/>
        <w:tblGridChange w:id="0">
          <w:tblGrid>
            <w:gridCol w:w="4512.755905511812"/>
            <w:gridCol w:w="4512.755905511812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hd w:fill="ffffff" w:val="clear"/>
              <w:spacing w:after="100" w:lineRule="auto"/>
              <w:jc w:val="center"/>
              <w:rPr>
                <w:rFonts w:ascii="Verdana" w:cs="Verdana" w:eastAsia="Verdana" w:hAnsi="Verdana"/>
                <w:b w:val="1"/>
                <w:color w:val="2f2f2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f2f2f"/>
                <w:sz w:val="20"/>
                <w:szCs w:val="20"/>
                <w:rtl w:val="0"/>
              </w:rPr>
              <w:t xml:space="preserve">Combustible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hd w:fill="ffffff" w:val="clear"/>
              <w:spacing w:after="100" w:lineRule="auto"/>
              <w:jc w:val="center"/>
              <w:rPr>
                <w:rFonts w:ascii="Verdana" w:cs="Verdana" w:eastAsia="Verdana" w:hAnsi="Verdana"/>
                <w:b w:val="1"/>
                <w:color w:val="2f2f2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f2f2f"/>
                <w:sz w:val="20"/>
                <w:szCs w:val="20"/>
                <w:rtl w:val="0"/>
              </w:rPr>
              <w:t xml:space="preserve">Cuota (pesos/litro)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hd w:fill="ffffff" w:val="clear"/>
              <w:spacing w:after="100" w:lineRule="auto"/>
              <w:jc w:val="both"/>
              <w:rPr>
                <w:rFonts w:ascii="Verdana" w:cs="Verdana" w:eastAsia="Verdana" w:hAnsi="Verdana"/>
                <w:color w:val="2f2f2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f2f2f"/>
                <w:sz w:val="20"/>
                <w:szCs w:val="20"/>
                <w:rtl w:val="0"/>
              </w:rPr>
              <w:t xml:space="preserve">Gasolina menor a 91 octanos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hd w:fill="ffffff" w:val="clear"/>
              <w:spacing w:after="100" w:lineRule="auto"/>
              <w:jc w:val="center"/>
              <w:rPr>
                <w:rFonts w:ascii="Verdana" w:cs="Verdana" w:eastAsia="Verdana" w:hAnsi="Verdana"/>
                <w:color w:val="2f2f2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f2f2f"/>
                <w:sz w:val="20"/>
                <w:szCs w:val="20"/>
                <w:rtl w:val="0"/>
              </w:rPr>
              <w:t xml:space="preserve">$4.8846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hd w:fill="ffffff" w:val="clear"/>
              <w:spacing w:after="100" w:lineRule="auto"/>
              <w:jc w:val="both"/>
              <w:rPr>
                <w:rFonts w:ascii="Verdana" w:cs="Verdana" w:eastAsia="Verdana" w:hAnsi="Verdana"/>
                <w:color w:val="2f2f2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f2f2f"/>
                <w:sz w:val="20"/>
                <w:szCs w:val="20"/>
                <w:rtl w:val="0"/>
              </w:rPr>
              <w:t xml:space="preserve">Gasolina mayor o igual a 91 octanos y combustibles no fósiles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hd w:fill="ffffff" w:val="clear"/>
              <w:spacing w:after="100" w:lineRule="auto"/>
              <w:jc w:val="center"/>
              <w:rPr>
                <w:rFonts w:ascii="Verdana" w:cs="Verdana" w:eastAsia="Verdana" w:hAnsi="Verdana"/>
                <w:color w:val="2f2f2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f2f2f"/>
                <w:sz w:val="20"/>
                <w:szCs w:val="20"/>
                <w:rtl w:val="0"/>
              </w:rPr>
              <w:t xml:space="preserve">$5.2146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hd w:fill="ffffff" w:val="clear"/>
              <w:spacing w:after="100" w:lineRule="auto"/>
              <w:jc w:val="both"/>
              <w:rPr>
                <w:rFonts w:ascii="Verdana" w:cs="Verdana" w:eastAsia="Verdana" w:hAnsi="Verdana"/>
                <w:color w:val="2f2f2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f2f2f"/>
                <w:sz w:val="20"/>
                <w:szCs w:val="20"/>
                <w:rtl w:val="0"/>
              </w:rPr>
              <w:t xml:space="preserve">Diésel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hd w:fill="ffffff" w:val="clear"/>
              <w:spacing w:after="100" w:lineRule="auto"/>
              <w:jc w:val="center"/>
              <w:rPr>
                <w:rFonts w:ascii="Verdana" w:cs="Verdana" w:eastAsia="Verdana" w:hAnsi="Verdana"/>
                <w:color w:val="2f2f2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f2f2f"/>
                <w:sz w:val="20"/>
                <w:szCs w:val="20"/>
                <w:rtl w:val="0"/>
              </w:rPr>
              <w:t xml:space="preserve">$6.2606</w:t>
            </w:r>
          </w:p>
        </w:tc>
      </w:tr>
    </w:tbl>
    <w:p w:rsidR="00000000" w:rsidDel="00000000" w:rsidP="00000000" w:rsidRDefault="00000000" w:rsidRPr="00000000" w14:paraId="00000027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Artículo Cuarto. 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Las cantidades por litro de estímulos complementarios aplicables a los combustibles automotrices durante el periodo comprendido del 23 de marzo al 05 de abril de 2024, son las siguientes:</w:t>
      </w:r>
    </w:p>
    <w:tbl>
      <w:tblPr>
        <w:tblStyle w:val="Table4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2.755905511812"/>
        <w:gridCol w:w="4512.755905511812"/>
        <w:tblGridChange w:id="0">
          <w:tblGrid>
            <w:gridCol w:w="4512.755905511812"/>
            <w:gridCol w:w="4512.755905511812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hd w:fill="ffffff" w:val="clear"/>
              <w:spacing w:after="100" w:lineRule="auto"/>
              <w:jc w:val="center"/>
              <w:rPr>
                <w:rFonts w:ascii="Verdana" w:cs="Verdana" w:eastAsia="Verdana" w:hAnsi="Verdana"/>
                <w:b w:val="1"/>
                <w:color w:val="2f2f2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f2f2f"/>
                <w:sz w:val="20"/>
                <w:szCs w:val="20"/>
                <w:rtl w:val="0"/>
              </w:rPr>
              <w:t xml:space="preserve">Combustible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hd w:fill="ffffff" w:val="clear"/>
              <w:spacing w:after="100" w:lineRule="auto"/>
              <w:jc w:val="center"/>
              <w:rPr>
                <w:rFonts w:ascii="Verdana" w:cs="Verdana" w:eastAsia="Verdana" w:hAnsi="Verdana"/>
                <w:b w:val="1"/>
                <w:color w:val="2f2f2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f2f2f"/>
                <w:sz w:val="20"/>
                <w:szCs w:val="20"/>
                <w:rtl w:val="0"/>
              </w:rPr>
              <w:t xml:space="preserve">Cantidad por litro</w:t>
            </w:r>
          </w:p>
          <w:p w:rsidR="00000000" w:rsidDel="00000000" w:rsidP="00000000" w:rsidRDefault="00000000" w:rsidRPr="00000000" w14:paraId="0000002B">
            <w:pPr>
              <w:shd w:fill="ffffff" w:val="clear"/>
              <w:spacing w:after="100" w:lineRule="auto"/>
              <w:jc w:val="center"/>
              <w:rPr>
                <w:rFonts w:ascii="Verdana" w:cs="Verdana" w:eastAsia="Verdana" w:hAnsi="Verdana"/>
                <w:b w:val="1"/>
                <w:color w:val="2f2f2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f2f2f"/>
                <w:sz w:val="20"/>
                <w:szCs w:val="20"/>
                <w:rtl w:val="0"/>
              </w:rPr>
              <w:t xml:space="preserve">(pesos)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hd w:fill="ffffff" w:val="clear"/>
              <w:spacing w:after="100" w:lineRule="auto"/>
              <w:jc w:val="both"/>
              <w:rPr>
                <w:rFonts w:ascii="Verdana" w:cs="Verdana" w:eastAsia="Verdana" w:hAnsi="Verdana"/>
                <w:color w:val="2f2f2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f2f2f"/>
                <w:sz w:val="20"/>
                <w:szCs w:val="20"/>
                <w:rtl w:val="0"/>
              </w:rPr>
              <w:t xml:space="preserve">Gasolina menor a 91 octanos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hd w:fill="ffffff" w:val="clear"/>
              <w:spacing w:after="100" w:lineRule="auto"/>
              <w:jc w:val="center"/>
              <w:rPr>
                <w:rFonts w:ascii="Verdana" w:cs="Verdana" w:eastAsia="Verdana" w:hAnsi="Verdana"/>
                <w:color w:val="2f2f2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f2f2f"/>
                <w:sz w:val="20"/>
                <w:szCs w:val="20"/>
                <w:rtl w:val="0"/>
              </w:rPr>
              <w:t xml:space="preserve">$0.0000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hd w:fill="ffffff" w:val="clear"/>
              <w:spacing w:after="100" w:lineRule="auto"/>
              <w:jc w:val="both"/>
              <w:rPr>
                <w:rFonts w:ascii="Verdana" w:cs="Verdana" w:eastAsia="Verdana" w:hAnsi="Verdana"/>
                <w:color w:val="2f2f2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f2f2f"/>
                <w:sz w:val="20"/>
                <w:szCs w:val="20"/>
                <w:rtl w:val="0"/>
              </w:rPr>
              <w:t xml:space="preserve">Gasolina mayor o igual a 91 octanos y combustibles no fósiles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hd w:fill="ffffff" w:val="clear"/>
              <w:spacing w:after="100" w:lineRule="auto"/>
              <w:jc w:val="center"/>
              <w:rPr>
                <w:rFonts w:ascii="Verdana" w:cs="Verdana" w:eastAsia="Verdana" w:hAnsi="Verdana"/>
                <w:color w:val="2f2f2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f2f2f"/>
                <w:sz w:val="20"/>
                <w:szCs w:val="20"/>
                <w:rtl w:val="0"/>
              </w:rPr>
              <w:t xml:space="preserve">$0.0000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hd w:fill="ffffff" w:val="clear"/>
              <w:spacing w:after="100" w:lineRule="auto"/>
              <w:jc w:val="both"/>
              <w:rPr>
                <w:rFonts w:ascii="Verdana" w:cs="Verdana" w:eastAsia="Verdana" w:hAnsi="Verdana"/>
                <w:color w:val="2f2f2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f2f2f"/>
                <w:sz w:val="20"/>
                <w:szCs w:val="20"/>
                <w:rtl w:val="0"/>
              </w:rPr>
              <w:t xml:space="preserve">Diésel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hd w:fill="ffffff" w:val="clear"/>
              <w:spacing w:after="100" w:lineRule="auto"/>
              <w:jc w:val="center"/>
              <w:rPr>
                <w:rFonts w:ascii="Verdana" w:cs="Verdana" w:eastAsia="Verdana" w:hAnsi="Verdana"/>
                <w:color w:val="2f2f2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f2f2f"/>
                <w:sz w:val="20"/>
                <w:szCs w:val="20"/>
                <w:rtl w:val="0"/>
              </w:rPr>
              <w:t xml:space="preserve">$0.0000</w:t>
            </w:r>
          </w:p>
        </w:tc>
      </w:tr>
    </w:tbl>
    <w:p w:rsidR="00000000" w:rsidDel="00000000" w:rsidP="00000000" w:rsidRDefault="00000000" w:rsidRPr="00000000" w14:paraId="00000032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hd w:fill="ffffff" w:val="clear"/>
        <w:spacing w:after="100" w:before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TRANSITORIO</w:t>
      </w:r>
    </w:p>
    <w:p w:rsidR="00000000" w:rsidDel="00000000" w:rsidP="00000000" w:rsidRDefault="00000000" w:rsidRPr="00000000" w14:paraId="00000034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ÚNICO.-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El presente Acuerdo entrará en vigor al día siguiente de su publicación en el Diario Oficial de la Federación.</w:t>
      </w:r>
    </w:p>
    <w:p w:rsidR="00000000" w:rsidDel="00000000" w:rsidP="00000000" w:rsidRDefault="00000000" w:rsidRPr="00000000" w14:paraId="00000035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Ciudad de México, a 21 de marzo de 2024.- Con fundamento en el artículo Primero, último párrafo, del Decreto por el que se establecen estímulos fiscales en materia del impuesto especial sobre producción y servicios aplicables a los combustibles que se indican, y el artículo Primero, último párrafo, del Decreto por el que se establecen estímulos fiscales complementarios a los combustibles automotrices, en suplencia del C. Subsecretario de Hacienda y Crédito Público, el Titular de la Unidad de Política de Ingresos No Tributarios y Sobre Hidrocarburos, </w:t>
      </w: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Adán Enrique García Ramos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.- Rúbrica.</w:t>
      </w:r>
    </w:p>
    <w:p w:rsidR="00000000" w:rsidDel="00000000" w:rsidP="00000000" w:rsidRDefault="00000000" w:rsidRPr="00000000" w14:paraId="00000036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