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14" w:rsidRDefault="00151B14" w:rsidP="00151B14">
      <w:pPr>
        <w:jc w:val="center"/>
        <w:rPr>
          <w:rFonts w:ascii="Verdana" w:hAnsi="Verdana"/>
          <w:b/>
          <w:bCs/>
          <w:color w:val="0070C0"/>
          <w:sz w:val="24"/>
        </w:rPr>
      </w:pPr>
      <w:r w:rsidRPr="00151B14">
        <w:rPr>
          <w:rFonts w:ascii="Verdana" w:hAnsi="Verdana"/>
          <w:b/>
          <w:bCs/>
          <w:color w:val="0070C0"/>
          <w:sz w:val="24"/>
        </w:rPr>
        <w:t>Resolución por la que se declara el inicio del examen de vigencia de las cuotas compensatorias impuestas a las importaciones de lámina rolada en frío originarias de la Federación de Rusia y de la República de Kazajstán, independien</w:t>
      </w:r>
      <w:r>
        <w:rPr>
          <w:rFonts w:ascii="Verdana" w:hAnsi="Verdana"/>
          <w:b/>
          <w:bCs/>
          <w:color w:val="0070C0"/>
          <w:sz w:val="24"/>
        </w:rPr>
        <w:t>temente del país de procedencia</w:t>
      </w:r>
    </w:p>
    <w:p w:rsidR="00151B14" w:rsidRDefault="00151B14" w:rsidP="00151B14">
      <w:pPr>
        <w:jc w:val="center"/>
        <w:rPr>
          <w:rFonts w:ascii="Verdana" w:hAnsi="Verdana"/>
          <w:b/>
          <w:bCs/>
          <w:color w:val="0070C0"/>
          <w:sz w:val="24"/>
        </w:rPr>
      </w:pPr>
      <w:r>
        <w:rPr>
          <w:rFonts w:ascii="Verdana" w:hAnsi="Verdana"/>
          <w:b/>
          <w:bCs/>
          <w:color w:val="0070C0"/>
          <w:sz w:val="24"/>
        </w:rPr>
        <w:t>(DOF del 20 de junio de 2019)</w:t>
      </w:r>
    </w:p>
    <w:p w:rsidR="00151B14" w:rsidRPr="00151B14" w:rsidRDefault="00151B14" w:rsidP="00151B14">
      <w:pPr>
        <w:jc w:val="both"/>
        <w:rPr>
          <w:rFonts w:ascii="Verdana" w:hAnsi="Verdana"/>
          <w:b/>
          <w:bCs/>
          <w:sz w:val="20"/>
        </w:rPr>
      </w:pPr>
      <w:r w:rsidRPr="00151B14">
        <w:rPr>
          <w:rFonts w:ascii="Verdana" w:hAnsi="Verdana"/>
          <w:b/>
          <w:bCs/>
          <w:sz w:val="20"/>
        </w:rPr>
        <w:t>Al margen un sello con el Escudo Nacional, que dice: Estados Unidos Mexicanos.- Secretaría de Economía.</w:t>
      </w:r>
    </w:p>
    <w:p w:rsidR="00151B14" w:rsidRPr="00151B14" w:rsidRDefault="00151B14" w:rsidP="00151B14">
      <w:pPr>
        <w:jc w:val="both"/>
        <w:rPr>
          <w:rFonts w:ascii="Verdana" w:hAnsi="Verdana"/>
          <w:bCs/>
          <w:sz w:val="20"/>
        </w:rPr>
      </w:pPr>
      <w:r w:rsidRPr="00151B14">
        <w:rPr>
          <w:rFonts w:ascii="Verdana" w:hAnsi="Verdana"/>
          <w:bCs/>
          <w:sz w:val="20"/>
        </w:rPr>
        <w:t>RESOLUCIÓN POR LA QUE SE DECLARA EL INICIO DEL EXAMEN DE VIGENCIA DE LAS CUOTAS COMPENSATORIAS IMPUESTAS A LAS IMPORTACIONES DE LÁMINA ROLADA EN FRÍO ORIGINARIAS DE LA FEDERACIÓN DE RUSIA Y DE LA REPÚBLICA DE KAZAJSTÁN, INDEPENDIENTEMENTE DEL PAÍS DE PROCEDENCIA</w:t>
      </w:r>
    </w:p>
    <w:p w:rsidR="00151B14" w:rsidRPr="00151B14" w:rsidRDefault="00151B14" w:rsidP="00151B14">
      <w:pPr>
        <w:jc w:val="both"/>
        <w:rPr>
          <w:rFonts w:ascii="Verdana" w:hAnsi="Verdana"/>
          <w:bCs/>
          <w:sz w:val="20"/>
        </w:rPr>
      </w:pPr>
      <w:r w:rsidRPr="00151B14">
        <w:rPr>
          <w:rFonts w:ascii="Verdana" w:hAnsi="Verdana"/>
          <w:bCs/>
          <w:sz w:val="20"/>
        </w:rPr>
        <w:t>Visto para resolver en la etapa de inicio el expediente administrativo E.C. 10/19 radicado en la Unidad de Prácticas Comerciales Internacionales (UPCI) de la Secretaría de Economía (la "Secretaría"), se emite la presente Resolución de conformidad con los siguientes</w:t>
      </w:r>
    </w:p>
    <w:p w:rsidR="00151B14" w:rsidRPr="00151B14" w:rsidRDefault="00151B14" w:rsidP="00151B14">
      <w:pPr>
        <w:jc w:val="both"/>
        <w:rPr>
          <w:rFonts w:ascii="Verdana" w:hAnsi="Verdana"/>
          <w:b/>
          <w:bCs/>
          <w:sz w:val="20"/>
        </w:rPr>
      </w:pPr>
      <w:r w:rsidRPr="00151B14">
        <w:rPr>
          <w:rFonts w:ascii="Verdana" w:hAnsi="Verdana"/>
          <w:b/>
          <w:bCs/>
          <w:sz w:val="20"/>
        </w:rPr>
        <w:t>RESULTANDOS</w:t>
      </w:r>
    </w:p>
    <w:p w:rsidR="00151B14" w:rsidRPr="00151B14" w:rsidRDefault="00151B14" w:rsidP="00151B14">
      <w:pPr>
        <w:jc w:val="both"/>
        <w:rPr>
          <w:rFonts w:ascii="Verdana" w:hAnsi="Verdana"/>
          <w:bCs/>
          <w:sz w:val="20"/>
        </w:rPr>
      </w:pPr>
      <w:r w:rsidRPr="00151B14">
        <w:rPr>
          <w:rFonts w:ascii="Verdana" w:hAnsi="Verdana"/>
          <w:b/>
          <w:bCs/>
          <w:sz w:val="20"/>
        </w:rPr>
        <w:t>A. Resolución final de la investigación antidumping</w:t>
      </w:r>
    </w:p>
    <w:p w:rsidR="00151B14" w:rsidRPr="00151B14" w:rsidRDefault="00151B14" w:rsidP="00151B14">
      <w:pPr>
        <w:jc w:val="both"/>
        <w:rPr>
          <w:rFonts w:ascii="Verdana" w:hAnsi="Verdana"/>
          <w:bCs/>
          <w:sz w:val="20"/>
        </w:rPr>
      </w:pPr>
      <w:r w:rsidRPr="00151B14">
        <w:rPr>
          <w:rFonts w:ascii="Verdana" w:hAnsi="Verdana"/>
          <w:b/>
          <w:bCs/>
          <w:sz w:val="20"/>
        </w:rPr>
        <w:t>1.</w:t>
      </w:r>
      <w:r w:rsidRPr="00151B14">
        <w:rPr>
          <w:rFonts w:ascii="Verdana" w:hAnsi="Verdana"/>
          <w:bCs/>
          <w:sz w:val="20"/>
        </w:rPr>
        <w:t> El 29 de junio de 1999 se publicó en el Diario Oficial de la Federación (DOF) la Resolución final de la investigación antidumping sobre las importaciones de lámina rolada en frío, originarias de la Federación de Rusia ("Rusia"), la República de Kazajstán ("Kazajstán") y la República de Bulgaria ("Bulgaria"), independientemente del país de procedencia. Mediante dicha Resolución, se determinaron las siguientes cuotas compensatorias:</w:t>
      </w:r>
    </w:p>
    <w:p w:rsidR="00151B14" w:rsidRPr="00151B14" w:rsidRDefault="00151B14" w:rsidP="00151B14">
      <w:pPr>
        <w:jc w:val="both"/>
        <w:rPr>
          <w:rFonts w:ascii="Verdana" w:hAnsi="Verdana"/>
          <w:bCs/>
          <w:sz w:val="20"/>
        </w:rPr>
      </w:pPr>
      <w:r w:rsidRPr="00151B14">
        <w:rPr>
          <w:rFonts w:ascii="Verdana" w:hAnsi="Verdana"/>
          <w:b/>
          <w:bCs/>
          <w:sz w:val="20"/>
        </w:rPr>
        <w:t>a.</w:t>
      </w:r>
      <w:r w:rsidRPr="00151B14">
        <w:rPr>
          <w:rFonts w:ascii="Verdana" w:hAnsi="Verdana"/>
          <w:bCs/>
          <w:sz w:val="20"/>
        </w:rPr>
        <w:t>     para las importaciones originarias de Rusia:</w:t>
      </w:r>
    </w:p>
    <w:p w:rsidR="00151B14" w:rsidRPr="00151B14" w:rsidRDefault="00151B14" w:rsidP="00151B14">
      <w:pPr>
        <w:jc w:val="both"/>
        <w:rPr>
          <w:rFonts w:ascii="Verdana" w:hAnsi="Verdana"/>
          <w:bCs/>
          <w:sz w:val="20"/>
        </w:rPr>
      </w:pPr>
      <w:r w:rsidRPr="00151B14">
        <w:rPr>
          <w:rFonts w:ascii="Verdana" w:hAnsi="Verdana"/>
          <w:b/>
          <w:bCs/>
          <w:sz w:val="20"/>
        </w:rPr>
        <w:t>i.</w:t>
      </w:r>
      <w:r w:rsidRPr="00151B14">
        <w:rPr>
          <w:rFonts w:ascii="Verdana" w:hAnsi="Verdana"/>
          <w:bCs/>
          <w:sz w:val="20"/>
        </w:rPr>
        <w:t xml:space="preserve">    de 83% a las de la empresa A.O. </w:t>
      </w:r>
      <w:proofErr w:type="spellStart"/>
      <w:r w:rsidRPr="00151B14">
        <w:rPr>
          <w:rFonts w:ascii="Verdana" w:hAnsi="Verdana"/>
          <w:bCs/>
          <w:sz w:val="20"/>
        </w:rPr>
        <w:t>Severstal</w:t>
      </w:r>
      <w:proofErr w:type="spellEnd"/>
      <w:r w:rsidRPr="00151B14">
        <w:rPr>
          <w:rFonts w:ascii="Verdana" w:hAnsi="Verdana"/>
          <w:bCs/>
          <w:sz w:val="20"/>
        </w:rPr>
        <w:t>, y</w:t>
      </w:r>
    </w:p>
    <w:p w:rsidR="00151B14" w:rsidRPr="00151B14" w:rsidRDefault="00151B14" w:rsidP="00151B14">
      <w:pPr>
        <w:jc w:val="both"/>
        <w:rPr>
          <w:rFonts w:ascii="Verdana" w:hAnsi="Verdana"/>
          <w:bCs/>
          <w:sz w:val="20"/>
        </w:rPr>
      </w:pPr>
      <w:r w:rsidRPr="00151B14">
        <w:rPr>
          <w:rFonts w:ascii="Verdana" w:hAnsi="Verdana"/>
          <w:b/>
          <w:bCs/>
          <w:sz w:val="20"/>
        </w:rPr>
        <w:t>ii.</w:t>
      </w:r>
      <w:r w:rsidRPr="00151B14">
        <w:rPr>
          <w:rFonts w:ascii="Verdana" w:hAnsi="Verdana"/>
          <w:bCs/>
          <w:sz w:val="20"/>
        </w:rPr>
        <w:t>   de 88% a las de cualquier otra empresa rusa.</w:t>
      </w:r>
    </w:p>
    <w:p w:rsidR="00151B14" w:rsidRPr="00151B14" w:rsidRDefault="00151B14" w:rsidP="00151B14">
      <w:pPr>
        <w:jc w:val="both"/>
        <w:rPr>
          <w:rFonts w:ascii="Verdana" w:hAnsi="Verdana"/>
          <w:bCs/>
          <w:sz w:val="20"/>
        </w:rPr>
      </w:pPr>
      <w:r w:rsidRPr="00151B14">
        <w:rPr>
          <w:rFonts w:ascii="Verdana" w:hAnsi="Verdana"/>
          <w:b/>
          <w:bCs/>
          <w:sz w:val="20"/>
        </w:rPr>
        <w:t>b.</w:t>
      </w:r>
      <w:r w:rsidRPr="00151B14">
        <w:rPr>
          <w:rFonts w:ascii="Verdana" w:hAnsi="Verdana"/>
          <w:bCs/>
          <w:sz w:val="20"/>
        </w:rPr>
        <w:t>    de 34% y 33% para las importaciones originarias de Kazajstán que ingresen por las fracciones arancelarias 7209.16.01 y 7209.17.01 de la Tarifa de la Ley de los Impuestos Generales de Importación y de Exportación (TIGIE), respectivamente, y</w:t>
      </w:r>
    </w:p>
    <w:p w:rsidR="00151B14" w:rsidRPr="00151B14" w:rsidRDefault="00151B14" w:rsidP="00151B14">
      <w:pPr>
        <w:jc w:val="both"/>
        <w:rPr>
          <w:rFonts w:ascii="Verdana" w:hAnsi="Verdana"/>
          <w:bCs/>
          <w:sz w:val="20"/>
        </w:rPr>
      </w:pPr>
      <w:r w:rsidRPr="00151B14">
        <w:rPr>
          <w:rFonts w:ascii="Verdana" w:hAnsi="Verdana"/>
          <w:b/>
          <w:bCs/>
          <w:sz w:val="20"/>
        </w:rPr>
        <w:t>c.</w:t>
      </w:r>
      <w:r w:rsidRPr="00151B14">
        <w:rPr>
          <w:rFonts w:ascii="Verdana" w:hAnsi="Verdana"/>
          <w:bCs/>
          <w:sz w:val="20"/>
        </w:rPr>
        <w:t>     de 44% y 45% para las importaciones originarias de Bulgaria que ingresen por las fracciones arancelarias 7209.16.01 y 7209.17.01 de la TIGIE, respectivamente.</w:t>
      </w:r>
    </w:p>
    <w:p w:rsidR="00151B14" w:rsidRPr="00151B14" w:rsidRDefault="00151B14" w:rsidP="00151B14">
      <w:pPr>
        <w:jc w:val="both"/>
        <w:rPr>
          <w:rFonts w:ascii="Verdana" w:hAnsi="Verdana"/>
          <w:bCs/>
          <w:sz w:val="20"/>
        </w:rPr>
      </w:pPr>
      <w:r w:rsidRPr="00151B14">
        <w:rPr>
          <w:rFonts w:ascii="Verdana" w:hAnsi="Verdana"/>
          <w:b/>
          <w:bCs/>
          <w:sz w:val="20"/>
        </w:rPr>
        <w:t>B. Exámenes de vigencia previos</w:t>
      </w:r>
    </w:p>
    <w:p w:rsidR="00151B14" w:rsidRPr="00151B14" w:rsidRDefault="00151B14" w:rsidP="00151B14">
      <w:pPr>
        <w:jc w:val="both"/>
        <w:rPr>
          <w:rFonts w:ascii="Verdana" w:hAnsi="Verdana"/>
          <w:bCs/>
          <w:sz w:val="20"/>
        </w:rPr>
      </w:pPr>
      <w:r w:rsidRPr="00151B14">
        <w:rPr>
          <w:rFonts w:ascii="Verdana" w:hAnsi="Verdana"/>
          <w:b/>
          <w:bCs/>
          <w:sz w:val="20"/>
        </w:rPr>
        <w:lastRenderedPageBreak/>
        <w:t>2.</w:t>
      </w:r>
      <w:r w:rsidRPr="00151B14">
        <w:rPr>
          <w:rFonts w:ascii="Verdana" w:hAnsi="Verdana"/>
          <w:bCs/>
          <w:sz w:val="20"/>
        </w:rPr>
        <w:t> El 12 de diciembre de 2005 se publicó en el DOF la Resolución final del primer examen de vigencia de las cuotas compensatorias. Se determinó prorrogarlas por cinco años más.</w:t>
      </w:r>
    </w:p>
    <w:p w:rsidR="00151B14" w:rsidRPr="00151B14" w:rsidRDefault="00151B14" w:rsidP="00151B14">
      <w:pPr>
        <w:jc w:val="both"/>
        <w:rPr>
          <w:rFonts w:ascii="Verdana" w:hAnsi="Verdana"/>
          <w:bCs/>
          <w:sz w:val="20"/>
        </w:rPr>
      </w:pPr>
      <w:r w:rsidRPr="00151B14">
        <w:rPr>
          <w:rFonts w:ascii="Verdana" w:hAnsi="Verdana"/>
          <w:b/>
          <w:bCs/>
          <w:sz w:val="20"/>
        </w:rPr>
        <w:t>3.</w:t>
      </w:r>
      <w:r w:rsidRPr="00151B14">
        <w:rPr>
          <w:rFonts w:ascii="Verdana" w:hAnsi="Verdana"/>
          <w:bCs/>
          <w:sz w:val="20"/>
        </w:rPr>
        <w:t> El 28 de diciembre de 2010 se publicó en el DOF la Resolución final del segundo examen de vigencia de las cuotas compensatorias. Se determinó modificar las cuotas compensatorias, para quedar de la siguiente manera, y prorrogarlas por cinco años más:</w:t>
      </w:r>
    </w:p>
    <w:p w:rsidR="00151B14" w:rsidRPr="00151B14" w:rsidRDefault="00151B14" w:rsidP="00151B14">
      <w:pPr>
        <w:jc w:val="both"/>
        <w:rPr>
          <w:rFonts w:ascii="Verdana" w:hAnsi="Verdana"/>
          <w:bCs/>
          <w:sz w:val="20"/>
        </w:rPr>
      </w:pPr>
      <w:r w:rsidRPr="00151B14">
        <w:rPr>
          <w:rFonts w:ascii="Verdana" w:hAnsi="Verdana"/>
          <w:b/>
          <w:bCs/>
          <w:sz w:val="20"/>
        </w:rPr>
        <w:t>a.</w:t>
      </w:r>
      <w:r w:rsidRPr="00151B14">
        <w:rPr>
          <w:rFonts w:ascii="Verdana" w:hAnsi="Verdana"/>
          <w:bCs/>
          <w:sz w:val="20"/>
        </w:rPr>
        <w:t>     de 15% y 22% para las importaciones de lámina rolada en frío originarias de Rusia y Kazajstán, respectivamente, y</w:t>
      </w:r>
    </w:p>
    <w:p w:rsidR="00151B14" w:rsidRPr="00151B14" w:rsidRDefault="00151B14" w:rsidP="00151B14">
      <w:pPr>
        <w:jc w:val="both"/>
        <w:rPr>
          <w:rFonts w:ascii="Verdana" w:hAnsi="Verdana"/>
          <w:bCs/>
          <w:sz w:val="20"/>
        </w:rPr>
      </w:pPr>
      <w:r w:rsidRPr="00151B14">
        <w:rPr>
          <w:rFonts w:ascii="Verdana" w:hAnsi="Verdana"/>
          <w:b/>
          <w:bCs/>
          <w:sz w:val="20"/>
        </w:rPr>
        <w:t>b.</w:t>
      </w:r>
      <w:r w:rsidRPr="00151B14">
        <w:rPr>
          <w:rFonts w:ascii="Verdana" w:hAnsi="Verdana"/>
          <w:bCs/>
          <w:sz w:val="20"/>
        </w:rPr>
        <w:t>    se eliminaron las cuotas compensatorias impuestas a las importaciones de lámina rolada en frío originarias de Bulgaria.</w:t>
      </w:r>
    </w:p>
    <w:p w:rsidR="00151B14" w:rsidRPr="00151B14" w:rsidRDefault="00151B14" w:rsidP="00151B14">
      <w:pPr>
        <w:jc w:val="both"/>
        <w:rPr>
          <w:rFonts w:ascii="Verdana" w:hAnsi="Verdana"/>
          <w:bCs/>
          <w:sz w:val="20"/>
        </w:rPr>
      </w:pPr>
      <w:r w:rsidRPr="00151B14">
        <w:rPr>
          <w:rFonts w:ascii="Verdana" w:hAnsi="Verdana"/>
          <w:b/>
          <w:bCs/>
          <w:sz w:val="20"/>
        </w:rPr>
        <w:t>4.</w:t>
      </w:r>
      <w:r w:rsidRPr="00151B14">
        <w:rPr>
          <w:rFonts w:ascii="Verdana" w:hAnsi="Verdana"/>
          <w:bCs/>
          <w:sz w:val="20"/>
        </w:rPr>
        <w:t> El 1 de julio de 2015 se publicó en el DOF la Resolución final del tercer examen de vigencia de las cuotas compensatorias. Se determinó prorrogar su vigencia por cinco años más.</w:t>
      </w:r>
    </w:p>
    <w:p w:rsidR="00151B14" w:rsidRPr="00151B14" w:rsidRDefault="00151B14" w:rsidP="00151B14">
      <w:pPr>
        <w:jc w:val="both"/>
        <w:rPr>
          <w:rFonts w:ascii="Verdana" w:hAnsi="Verdana"/>
          <w:bCs/>
          <w:sz w:val="20"/>
        </w:rPr>
      </w:pPr>
      <w:r w:rsidRPr="00151B14">
        <w:rPr>
          <w:rFonts w:ascii="Verdana" w:hAnsi="Verdana"/>
          <w:b/>
          <w:bCs/>
          <w:sz w:val="20"/>
        </w:rPr>
        <w:t>C. Aviso sobre la vigencia de cuotas compensatorias</w:t>
      </w:r>
    </w:p>
    <w:p w:rsidR="00151B14" w:rsidRPr="00151B14" w:rsidRDefault="00151B14" w:rsidP="00151B14">
      <w:pPr>
        <w:jc w:val="both"/>
        <w:rPr>
          <w:rFonts w:ascii="Verdana" w:hAnsi="Verdana"/>
          <w:bCs/>
          <w:sz w:val="20"/>
        </w:rPr>
      </w:pPr>
      <w:r w:rsidRPr="00151B14">
        <w:rPr>
          <w:rFonts w:ascii="Verdana" w:hAnsi="Verdana"/>
          <w:b/>
          <w:bCs/>
          <w:sz w:val="20"/>
        </w:rPr>
        <w:t>5.</w:t>
      </w:r>
      <w:r w:rsidRPr="00151B14">
        <w:rPr>
          <w:rFonts w:ascii="Verdana" w:hAnsi="Verdana"/>
          <w:bCs/>
          <w:sz w:val="20"/>
        </w:rPr>
        <w:t> 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lámina rolada en frío, objeto de este examen.</w:t>
      </w:r>
    </w:p>
    <w:p w:rsidR="00151B14" w:rsidRPr="00151B14" w:rsidRDefault="00151B14" w:rsidP="00151B14">
      <w:pPr>
        <w:jc w:val="both"/>
        <w:rPr>
          <w:rFonts w:ascii="Verdana" w:hAnsi="Verdana"/>
          <w:bCs/>
          <w:sz w:val="20"/>
        </w:rPr>
      </w:pPr>
      <w:r w:rsidRPr="00151B14">
        <w:rPr>
          <w:rFonts w:ascii="Verdana" w:hAnsi="Verdana"/>
          <w:b/>
          <w:bCs/>
          <w:sz w:val="20"/>
        </w:rPr>
        <w:t>D. Manifestación de interés</w:t>
      </w:r>
    </w:p>
    <w:p w:rsidR="00151B14" w:rsidRPr="00151B14" w:rsidRDefault="00151B14" w:rsidP="00151B14">
      <w:pPr>
        <w:jc w:val="both"/>
        <w:rPr>
          <w:rFonts w:ascii="Verdana" w:hAnsi="Verdana"/>
          <w:bCs/>
          <w:sz w:val="20"/>
        </w:rPr>
      </w:pPr>
      <w:r w:rsidRPr="00151B14">
        <w:rPr>
          <w:rFonts w:ascii="Verdana" w:hAnsi="Verdana"/>
          <w:b/>
          <w:bCs/>
          <w:sz w:val="20"/>
        </w:rPr>
        <w:t>6.</w:t>
      </w:r>
      <w:r w:rsidRPr="00151B14">
        <w:rPr>
          <w:rFonts w:ascii="Verdana" w:hAnsi="Verdana"/>
          <w:bCs/>
          <w:sz w:val="20"/>
        </w:rPr>
        <w:t xml:space="preserve"> El 23 y 24 de mayo de 2019 </w:t>
      </w:r>
      <w:proofErr w:type="spellStart"/>
      <w:r w:rsidRPr="00151B14">
        <w:rPr>
          <w:rFonts w:ascii="Verdana" w:hAnsi="Verdana"/>
          <w:bCs/>
          <w:sz w:val="20"/>
        </w:rPr>
        <w:t>Ternium</w:t>
      </w:r>
      <w:proofErr w:type="spellEnd"/>
      <w:r w:rsidRPr="00151B14">
        <w:rPr>
          <w:rFonts w:ascii="Verdana" w:hAnsi="Verdana"/>
          <w:bCs/>
          <w:sz w:val="20"/>
        </w:rPr>
        <w:t xml:space="preserve"> México, S.A. de C.V. ("</w:t>
      </w:r>
      <w:proofErr w:type="spellStart"/>
      <w:r w:rsidRPr="00151B14">
        <w:rPr>
          <w:rFonts w:ascii="Verdana" w:hAnsi="Verdana"/>
          <w:bCs/>
          <w:sz w:val="20"/>
        </w:rPr>
        <w:t>Ternium</w:t>
      </w:r>
      <w:proofErr w:type="spellEnd"/>
      <w:r w:rsidRPr="00151B14">
        <w:rPr>
          <w:rFonts w:ascii="Verdana" w:hAnsi="Verdana"/>
          <w:bCs/>
          <w:sz w:val="20"/>
        </w:rPr>
        <w:t xml:space="preserve">") y Altos Hornos de México, S.A.B. de C.V. (AHMSA), respectivamente, manifestaron su interés en que la Secretaría inicie el examen de vigencia de las cuotas compensatorias definitivas impuestas a las importaciones de lámina rolada en frío originarias de Rusia y Kazajstán. </w:t>
      </w:r>
      <w:proofErr w:type="spellStart"/>
      <w:r w:rsidRPr="00151B14">
        <w:rPr>
          <w:rFonts w:ascii="Verdana" w:hAnsi="Verdana"/>
          <w:bCs/>
          <w:sz w:val="20"/>
        </w:rPr>
        <w:t>Ternium</w:t>
      </w:r>
      <w:proofErr w:type="spellEnd"/>
      <w:r w:rsidRPr="00151B14">
        <w:rPr>
          <w:rFonts w:ascii="Verdana" w:hAnsi="Verdana"/>
          <w:bCs/>
          <w:sz w:val="20"/>
        </w:rPr>
        <w:t xml:space="preserve"> propuso como periodo de examen el comprendido de abril de 2018 a marzo de 2019, en tanto que AHMSA propuso el comprendido de enero a diciembre de 2018.</w:t>
      </w:r>
    </w:p>
    <w:p w:rsidR="00151B14" w:rsidRPr="00151B14" w:rsidRDefault="00151B14" w:rsidP="00151B14">
      <w:pPr>
        <w:jc w:val="both"/>
        <w:rPr>
          <w:rFonts w:ascii="Verdana" w:hAnsi="Verdana"/>
          <w:bCs/>
          <w:sz w:val="20"/>
        </w:rPr>
      </w:pPr>
      <w:r w:rsidRPr="00151B14">
        <w:rPr>
          <w:rFonts w:ascii="Verdana" w:hAnsi="Verdana"/>
          <w:b/>
          <w:bCs/>
          <w:sz w:val="20"/>
        </w:rPr>
        <w:t>7.</w:t>
      </w:r>
      <w:r w:rsidRPr="00151B14">
        <w:rPr>
          <w:rFonts w:ascii="Verdana" w:hAnsi="Verdana"/>
          <w:bCs/>
          <w:sz w:val="20"/>
        </w:rPr>
        <w:t> </w:t>
      </w:r>
      <w:proofErr w:type="spellStart"/>
      <w:r w:rsidRPr="00151B14">
        <w:rPr>
          <w:rFonts w:ascii="Verdana" w:hAnsi="Verdana"/>
          <w:bCs/>
          <w:sz w:val="20"/>
        </w:rPr>
        <w:t>Ternium</w:t>
      </w:r>
      <w:proofErr w:type="spellEnd"/>
      <w:r w:rsidRPr="00151B14">
        <w:rPr>
          <w:rFonts w:ascii="Verdana" w:hAnsi="Verdana"/>
          <w:bCs/>
          <w:sz w:val="20"/>
        </w:rPr>
        <w:t xml:space="preserve"> y AHMSA son empresas constituidas conforme a las leyes mexicanas. Entre sus principales</w:t>
      </w:r>
    </w:p>
    <w:p w:rsidR="00151B14" w:rsidRPr="00151B14" w:rsidRDefault="00151B14" w:rsidP="00151B14">
      <w:pPr>
        <w:jc w:val="both"/>
        <w:rPr>
          <w:rFonts w:ascii="Verdana" w:hAnsi="Verdana"/>
          <w:bCs/>
          <w:sz w:val="20"/>
        </w:rPr>
      </w:pPr>
      <w:proofErr w:type="gramStart"/>
      <w:r w:rsidRPr="00151B14">
        <w:rPr>
          <w:rFonts w:ascii="Verdana" w:hAnsi="Verdana"/>
          <w:bCs/>
          <w:sz w:val="20"/>
        </w:rPr>
        <w:t>actividades</w:t>
      </w:r>
      <w:proofErr w:type="gramEnd"/>
      <w:r w:rsidRPr="00151B14">
        <w:rPr>
          <w:rFonts w:ascii="Verdana" w:hAnsi="Verdana"/>
          <w:bCs/>
          <w:sz w:val="20"/>
        </w:rPr>
        <w:t xml:space="preserve"> se encuentra fabricar toda clase de productos de fierro o acero. Para acreditar su calidad de productoras nacionales de lámina rolada en frío, presentaron cartas de la Cámara Nacional de la Industria del Hierro y del Acero (CANACERO) del 9 y 29 de mayo de 2019, respectivamente.</w:t>
      </w:r>
    </w:p>
    <w:p w:rsidR="00151B14" w:rsidRPr="00151B14" w:rsidRDefault="00151B14" w:rsidP="00151B14">
      <w:pPr>
        <w:jc w:val="both"/>
        <w:rPr>
          <w:rFonts w:ascii="Verdana" w:hAnsi="Verdana"/>
          <w:bCs/>
          <w:sz w:val="20"/>
        </w:rPr>
      </w:pPr>
      <w:r w:rsidRPr="00151B14">
        <w:rPr>
          <w:rFonts w:ascii="Verdana" w:hAnsi="Verdana"/>
          <w:b/>
          <w:bCs/>
          <w:sz w:val="20"/>
        </w:rPr>
        <w:t>E. Producto objeto de examen</w:t>
      </w:r>
    </w:p>
    <w:p w:rsidR="00151B14" w:rsidRPr="00151B14" w:rsidRDefault="00151B14" w:rsidP="00151B14">
      <w:pPr>
        <w:jc w:val="both"/>
        <w:rPr>
          <w:rFonts w:ascii="Verdana" w:hAnsi="Verdana"/>
          <w:bCs/>
          <w:sz w:val="20"/>
        </w:rPr>
      </w:pPr>
      <w:r w:rsidRPr="00151B14">
        <w:rPr>
          <w:rFonts w:ascii="Verdana" w:hAnsi="Verdana"/>
          <w:b/>
          <w:bCs/>
          <w:sz w:val="20"/>
        </w:rPr>
        <w:lastRenderedPageBreak/>
        <w:t>1. Descripción del producto</w:t>
      </w:r>
    </w:p>
    <w:p w:rsidR="00151B14" w:rsidRPr="00151B14" w:rsidRDefault="00151B14" w:rsidP="00151B14">
      <w:pPr>
        <w:jc w:val="both"/>
        <w:rPr>
          <w:rFonts w:ascii="Verdana" w:hAnsi="Verdana"/>
          <w:bCs/>
          <w:sz w:val="20"/>
        </w:rPr>
      </w:pPr>
      <w:r w:rsidRPr="00151B14">
        <w:rPr>
          <w:rFonts w:ascii="Verdana" w:hAnsi="Verdana"/>
          <w:b/>
          <w:bCs/>
          <w:sz w:val="20"/>
        </w:rPr>
        <w:t>8.</w:t>
      </w:r>
      <w:r w:rsidRPr="00151B14">
        <w:rPr>
          <w:rFonts w:ascii="Verdana" w:hAnsi="Verdana"/>
          <w:bCs/>
          <w:sz w:val="20"/>
        </w:rPr>
        <w:t> El producto objeto de examen es la lámina rolada en frío. También se le conoce simplemente como lámina fría y, en inglés, como "</w:t>
      </w:r>
      <w:proofErr w:type="spellStart"/>
      <w:r w:rsidRPr="00151B14">
        <w:rPr>
          <w:rFonts w:ascii="Verdana" w:hAnsi="Verdana"/>
          <w:bCs/>
          <w:sz w:val="20"/>
        </w:rPr>
        <w:t>cold</w:t>
      </w:r>
      <w:proofErr w:type="spellEnd"/>
      <w:r w:rsidRPr="00151B14">
        <w:rPr>
          <w:rFonts w:ascii="Verdana" w:hAnsi="Verdana"/>
          <w:bCs/>
          <w:sz w:val="20"/>
        </w:rPr>
        <w:t xml:space="preserve"> </w:t>
      </w:r>
      <w:proofErr w:type="spellStart"/>
      <w:r w:rsidRPr="00151B14">
        <w:rPr>
          <w:rFonts w:ascii="Verdana" w:hAnsi="Verdana"/>
          <w:bCs/>
          <w:sz w:val="20"/>
        </w:rPr>
        <w:t>rolled</w:t>
      </w:r>
      <w:proofErr w:type="spellEnd"/>
      <w:r w:rsidRPr="00151B14">
        <w:rPr>
          <w:rFonts w:ascii="Verdana" w:hAnsi="Verdana"/>
          <w:bCs/>
          <w:sz w:val="20"/>
        </w:rPr>
        <w:t xml:space="preserve"> </w:t>
      </w:r>
      <w:proofErr w:type="spellStart"/>
      <w:r w:rsidRPr="00151B14">
        <w:rPr>
          <w:rFonts w:ascii="Verdana" w:hAnsi="Verdana"/>
          <w:bCs/>
          <w:sz w:val="20"/>
        </w:rPr>
        <w:t>steel</w:t>
      </w:r>
      <w:proofErr w:type="spellEnd"/>
      <w:r w:rsidRPr="00151B14">
        <w:rPr>
          <w:rFonts w:ascii="Verdana" w:hAnsi="Verdana"/>
          <w:bCs/>
          <w:sz w:val="20"/>
        </w:rPr>
        <w:t xml:space="preserve"> </w:t>
      </w:r>
      <w:proofErr w:type="spellStart"/>
      <w:r w:rsidRPr="00151B14">
        <w:rPr>
          <w:rFonts w:ascii="Verdana" w:hAnsi="Verdana"/>
          <w:bCs/>
          <w:sz w:val="20"/>
        </w:rPr>
        <w:t>sheet</w:t>
      </w:r>
      <w:proofErr w:type="spellEnd"/>
      <w:r w:rsidRPr="00151B14">
        <w:rPr>
          <w:rFonts w:ascii="Verdana" w:hAnsi="Verdana"/>
          <w:bCs/>
          <w:sz w:val="20"/>
        </w:rPr>
        <w:t xml:space="preserve"> </w:t>
      </w:r>
      <w:proofErr w:type="spellStart"/>
      <w:r w:rsidRPr="00151B14">
        <w:rPr>
          <w:rFonts w:ascii="Verdana" w:hAnsi="Verdana"/>
          <w:bCs/>
          <w:sz w:val="20"/>
        </w:rPr>
        <w:t>coil</w:t>
      </w:r>
      <w:proofErr w:type="spellEnd"/>
      <w:r w:rsidRPr="00151B14">
        <w:rPr>
          <w:rFonts w:ascii="Verdana" w:hAnsi="Verdana"/>
          <w:bCs/>
          <w:sz w:val="20"/>
        </w:rPr>
        <w:t>", "</w:t>
      </w:r>
      <w:proofErr w:type="spellStart"/>
      <w:r w:rsidRPr="00151B14">
        <w:rPr>
          <w:rFonts w:ascii="Verdana" w:hAnsi="Verdana"/>
          <w:bCs/>
          <w:sz w:val="20"/>
        </w:rPr>
        <w:t>cold</w:t>
      </w:r>
      <w:proofErr w:type="spellEnd"/>
      <w:r w:rsidRPr="00151B14">
        <w:rPr>
          <w:rFonts w:ascii="Verdana" w:hAnsi="Verdana"/>
          <w:bCs/>
          <w:sz w:val="20"/>
        </w:rPr>
        <w:t xml:space="preserve"> </w:t>
      </w:r>
      <w:proofErr w:type="spellStart"/>
      <w:r w:rsidRPr="00151B14">
        <w:rPr>
          <w:rFonts w:ascii="Verdana" w:hAnsi="Verdana"/>
          <w:bCs/>
          <w:sz w:val="20"/>
        </w:rPr>
        <w:t>rolled</w:t>
      </w:r>
      <w:proofErr w:type="spellEnd"/>
      <w:r w:rsidRPr="00151B14">
        <w:rPr>
          <w:rFonts w:ascii="Verdana" w:hAnsi="Verdana"/>
          <w:bCs/>
          <w:sz w:val="20"/>
        </w:rPr>
        <w:t xml:space="preserve"> </w:t>
      </w:r>
      <w:proofErr w:type="spellStart"/>
      <w:r w:rsidRPr="00151B14">
        <w:rPr>
          <w:rFonts w:ascii="Verdana" w:hAnsi="Verdana"/>
          <w:bCs/>
          <w:sz w:val="20"/>
        </w:rPr>
        <w:t>coil</w:t>
      </w:r>
      <w:proofErr w:type="spellEnd"/>
      <w:r w:rsidRPr="00151B14">
        <w:rPr>
          <w:rFonts w:ascii="Verdana" w:hAnsi="Verdana"/>
          <w:bCs/>
          <w:sz w:val="20"/>
        </w:rPr>
        <w:t>", o bien, "</w:t>
      </w:r>
      <w:proofErr w:type="spellStart"/>
      <w:r w:rsidRPr="00151B14">
        <w:rPr>
          <w:rFonts w:ascii="Verdana" w:hAnsi="Verdana"/>
          <w:bCs/>
          <w:sz w:val="20"/>
        </w:rPr>
        <w:t>sheets</w:t>
      </w:r>
      <w:proofErr w:type="spellEnd"/>
      <w:r w:rsidRPr="00151B14">
        <w:rPr>
          <w:rFonts w:ascii="Verdana" w:hAnsi="Verdana"/>
          <w:bCs/>
          <w:sz w:val="20"/>
        </w:rPr>
        <w:t>" o "</w:t>
      </w:r>
      <w:proofErr w:type="spellStart"/>
      <w:r w:rsidRPr="00151B14">
        <w:rPr>
          <w:rFonts w:ascii="Verdana" w:hAnsi="Verdana"/>
          <w:bCs/>
          <w:sz w:val="20"/>
        </w:rPr>
        <w:t>cold</w:t>
      </w:r>
      <w:proofErr w:type="spellEnd"/>
      <w:r w:rsidRPr="00151B14">
        <w:rPr>
          <w:rFonts w:ascii="Verdana" w:hAnsi="Verdana"/>
          <w:bCs/>
          <w:sz w:val="20"/>
        </w:rPr>
        <w:t xml:space="preserve"> </w:t>
      </w:r>
      <w:proofErr w:type="spellStart"/>
      <w:r w:rsidRPr="00151B14">
        <w:rPr>
          <w:rFonts w:ascii="Verdana" w:hAnsi="Verdana"/>
          <w:bCs/>
          <w:sz w:val="20"/>
        </w:rPr>
        <w:t>rolled</w:t>
      </w:r>
      <w:proofErr w:type="spellEnd"/>
      <w:r w:rsidRPr="00151B14">
        <w:rPr>
          <w:rFonts w:ascii="Verdana" w:hAnsi="Verdana"/>
          <w:bCs/>
          <w:sz w:val="20"/>
        </w:rPr>
        <w:t xml:space="preserve"> </w:t>
      </w:r>
      <w:proofErr w:type="spellStart"/>
      <w:r w:rsidRPr="00151B14">
        <w:rPr>
          <w:rFonts w:ascii="Verdana" w:hAnsi="Verdana"/>
          <w:bCs/>
          <w:sz w:val="20"/>
        </w:rPr>
        <w:t>steel</w:t>
      </w:r>
      <w:proofErr w:type="spellEnd"/>
      <w:r w:rsidRPr="00151B14">
        <w:rPr>
          <w:rFonts w:ascii="Verdana" w:hAnsi="Verdana"/>
          <w:bCs/>
          <w:sz w:val="20"/>
        </w:rPr>
        <w:t> </w:t>
      </w:r>
      <w:proofErr w:type="spellStart"/>
      <w:r w:rsidRPr="00151B14">
        <w:rPr>
          <w:rFonts w:ascii="Verdana" w:hAnsi="Verdana"/>
          <w:bCs/>
          <w:sz w:val="20"/>
        </w:rPr>
        <w:t>sheets</w:t>
      </w:r>
      <w:proofErr w:type="spellEnd"/>
      <w:r w:rsidRPr="00151B14">
        <w:rPr>
          <w:rFonts w:ascii="Verdana" w:hAnsi="Verdana"/>
          <w:bCs/>
          <w:sz w:val="20"/>
        </w:rPr>
        <w:t>".</w:t>
      </w:r>
    </w:p>
    <w:p w:rsidR="00151B14" w:rsidRPr="00151B14" w:rsidRDefault="00151B14" w:rsidP="00151B14">
      <w:pPr>
        <w:jc w:val="both"/>
        <w:rPr>
          <w:rFonts w:ascii="Verdana" w:hAnsi="Verdana"/>
          <w:bCs/>
          <w:sz w:val="20"/>
        </w:rPr>
      </w:pPr>
      <w:r w:rsidRPr="00151B14">
        <w:rPr>
          <w:rFonts w:ascii="Verdana" w:hAnsi="Verdana"/>
          <w:b/>
          <w:bCs/>
          <w:sz w:val="20"/>
        </w:rPr>
        <w:t>2. Características</w:t>
      </w:r>
    </w:p>
    <w:p w:rsidR="00151B14" w:rsidRPr="00151B14" w:rsidRDefault="00151B14" w:rsidP="00151B14">
      <w:pPr>
        <w:jc w:val="both"/>
        <w:rPr>
          <w:rFonts w:ascii="Verdana" w:hAnsi="Verdana"/>
          <w:bCs/>
          <w:sz w:val="20"/>
        </w:rPr>
      </w:pPr>
      <w:r w:rsidRPr="00151B14">
        <w:rPr>
          <w:rFonts w:ascii="Verdana" w:hAnsi="Verdana"/>
          <w:b/>
          <w:bCs/>
          <w:sz w:val="20"/>
        </w:rPr>
        <w:t>9.</w:t>
      </w:r>
      <w:r w:rsidRPr="00151B14">
        <w:rPr>
          <w:rFonts w:ascii="Verdana" w:hAnsi="Verdana"/>
          <w:bCs/>
          <w:sz w:val="20"/>
        </w:rPr>
        <w:t> El producto objeto de examen se fabrica fundamentalmente con aceros al carbón de calidad comercial, que se componen de mineral de hierro, carbono y cantidades pequeñas de otros elementos, por ejemplo, manganeso, fósforo y azufre, que brindan ciertas características físicas a los productos, y varían principalmente en función del contenido de carbono. La lámina rolada en frío se fabrica en anchos mayores o iguales a 600 milímetros (mm) y espesores que van desde 0.5 a 3 mm, con acabados mate o brillante.</w:t>
      </w:r>
    </w:p>
    <w:p w:rsidR="00151B14" w:rsidRPr="00151B14" w:rsidRDefault="00151B14" w:rsidP="00151B14">
      <w:pPr>
        <w:jc w:val="both"/>
        <w:rPr>
          <w:rFonts w:ascii="Verdana" w:hAnsi="Verdana"/>
          <w:bCs/>
          <w:sz w:val="20"/>
        </w:rPr>
      </w:pPr>
      <w:r w:rsidRPr="00151B14">
        <w:rPr>
          <w:rFonts w:ascii="Verdana" w:hAnsi="Verdana"/>
          <w:b/>
          <w:bCs/>
          <w:sz w:val="20"/>
        </w:rPr>
        <w:t>3. Tratamiento arancelario</w:t>
      </w:r>
    </w:p>
    <w:p w:rsidR="00151B14" w:rsidRPr="00151B14" w:rsidRDefault="00151B14" w:rsidP="00151B14">
      <w:pPr>
        <w:jc w:val="both"/>
        <w:rPr>
          <w:rFonts w:ascii="Verdana" w:hAnsi="Verdana"/>
          <w:bCs/>
          <w:sz w:val="20"/>
        </w:rPr>
      </w:pPr>
      <w:r w:rsidRPr="00151B14">
        <w:rPr>
          <w:rFonts w:ascii="Verdana" w:hAnsi="Verdana"/>
          <w:b/>
          <w:bCs/>
          <w:sz w:val="20"/>
        </w:rPr>
        <w:t>10.</w:t>
      </w:r>
      <w:r w:rsidRPr="00151B14">
        <w:rPr>
          <w:rFonts w:ascii="Verdana" w:hAnsi="Verdana"/>
          <w:bCs/>
          <w:sz w:val="20"/>
        </w:rPr>
        <w:t> El producto objeto de examen ingresa al mercado nacional por las siguientes fracciones arancelarias de acuerdo con la TIGIE: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25"/>
        <w:gridCol w:w="6221"/>
      </w:tblGrid>
      <w:tr w:rsidR="00151B14" w:rsidRPr="00151B14" w:rsidTr="00151B14">
        <w:tc>
          <w:tcPr>
            <w:tcW w:w="18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51B14" w:rsidRPr="00151B14" w:rsidRDefault="00151B14" w:rsidP="00151B14">
            <w:pPr>
              <w:jc w:val="both"/>
              <w:rPr>
                <w:rFonts w:ascii="Verdana" w:hAnsi="Verdana"/>
                <w:bCs/>
                <w:sz w:val="20"/>
              </w:rPr>
            </w:pPr>
            <w:r w:rsidRPr="00151B14">
              <w:rPr>
                <w:rFonts w:ascii="Verdana" w:hAnsi="Verdana"/>
                <w:b/>
                <w:bCs/>
                <w:sz w:val="20"/>
              </w:rPr>
              <w:t>Codificación</w:t>
            </w:r>
            <w:r w:rsidRPr="00151B14">
              <w:rPr>
                <w:rFonts w:ascii="Verdana" w:hAnsi="Verdana"/>
                <w:bCs/>
                <w:sz w:val="20"/>
              </w:rPr>
              <w:br/>
            </w:r>
            <w:r w:rsidRPr="00151B14">
              <w:rPr>
                <w:rFonts w:ascii="Verdana" w:hAnsi="Verdana"/>
                <w:b/>
                <w:bCs/>
                <w:sz w:val="20"/>
              </w:rPr>
              <w:t>arancelaria</w:t>
            </w:r>
          </w:p>
        </w:tc>
        <w:tc>
          <w:tcPr>
            <w:tcW w:w="6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51B14" w:rsidRPr="00151B14" w:rsidRDefault="00151B14" w:rsidP="00151B14">
            <w:pPr>
              <w:jc w:val="both"/>
              <w:rPr>
                <w:rFonts w:ascii="Verdana" w:hAnsi="Verdana"/>
                <w:bCs/>
                <w:sz w:val="20"/>
              </w:rPr>
            </w:pPr>
            <w:r w:rsidRPr="00151B14">
              <w:rPr>
                <w:rFonts w:ascii="Verdana" w:hAnsi="Verdana"/>
                <w:b/>
                <w:bCs/>
                <w:sz w:val="20"/>
              </w:rPr>
              <w:t>Descripción</w:t>
            </w:r>
          </w:p>
        </w:tc>
      </w:tr>
      <w:tr w:rsidR="00151B14" w:rsidRPr="00151B14" w:rsidTr="00151B14">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Capítulo 72</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Fundición, hierro y acero</w:t>
            </w:r>
          </w:p>
        </w:tc>
      </w:tr>
      <w:tr w:rsidR="00151B14" w:rsidRPr="00151B14" w:rsidTr="00151B14">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Partida 7209</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Productos laminados planos de hierro o acero sin alear, de anchura superior o igual a 600 mm, laminados en frío, sin chapar ni revestir.</w:t>
            </w:r>
          </w:p>
        </w:tc>
      </w:tr>
      <w:tr w:rsidR="00151B14" w:rsidRPr="00151B14" w:rsidTr="00151B14">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 </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 Enrollados, simplemente laminados en frío:</w:t>
            </w:r>
          </w:p>
        </w:tc>
      </w:tr>
      <w:tr w:rsidR="00151B14" w:rsidRPr="00151B14" w:rsidTr="00151B14">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1B14" w:rsidRPr="00151B14" w:rsidRDefault="00151B14" w:rsidP="00151B14">
            <w:pPr>
              <w:jc w:val="both"/>
              <w:rPr>
                <w:rFonts w:ascii="Verdana" w:hAnsi="Verdana"/>
                <w:bCs/>
                <w:sz w:val="20"/>
              </w:rPr>
            </w:pPr>
            <w:proofErr w:type="spellStart"/>
            <w:r w:rsidRPr="00151B14">
              <w:rPr>
                <w:rFonts w:ascii="Verdana" w:hAnsi="Verdana"/>
                <w:bCs/>
                <w:sz w:val="20"/>
              </w:rPr>
              <w:t>Subpartida</w:t>
            </w:r>
            <w:proofErr w:type="spellEnd"/>
            <w:r w:rsidRPr="00151B14">
              <w:rPr>
                <w:rFonts w:ascii="Verdana" w:hAnsi="Verdana"/>
                <w:bCs/>
                <w:sz w:val="20"/>
              </w:rPr>
              <w:t xml:space="preserve"> 7209.16</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 xml:space="preserve">-- De espesor superior a 1 mm pero inferior a 3 </w:t>
            </w:r>
            <w:proofErr w:type="spellStart"/>
            <w:r w:rsidRPr="00151B14">
              <w:rPr>
                <w:rFonts w:ascii="Verdana" w:hAnsi="Verdana"/>
                <w:bCs/>
                <w:sz w:val="20"/>
              </w:rPr>
              <w:t>mm.</w:t>
            </w:r>
            <w:proofErr w:type="spellEnd"/>
          </w:p>
        </w:tc>
      </w:tr>
      <w:tr w:rsidR="00151B14" w:rsidRPr="00151B14" w:rsidTr="00151B14">
        <w:tc>
          <w:tcPr>
            <w:tcW w:w="18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Fracción 7209.16.01</w:t>
            </w:r>
          </w:p>
        </w:tc>
        <w:tc>
          <w:tcPr>
            <w:tcW w:w="6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 xml:space="preserve">De espesor superior a 1 mm pero inferior a 3 </w:t>
            </w:r>
            <w:proofErr w:type="spellStart"/>
            <w:r w:rsidRPr="00151B14">
              <w:rPr>
                <w:rFonts w:ascii="Verdana" w:hAnsi="Verdana"/>
                <w:bCs/>
                <w:sz w:val="20"/>
              </w:rPr>
              <w:t>mm.</w:t>
            </w:r>
            <w:proofErr w:type="spellEnd"/>
          </w:p>
        </w:tc>
      </w:tr>
      <w:tr w:rsidR="00151B14" w:rsidRPr="00151B14" w:rsidTr="00151B14">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1B14" w:rsidRPr="00151B14" w:rsidRDefault="00151B14" w:rsidP="00151B14">
            <w:pPr>
              <w:jc w:val="both"/>
              <w:rPr>
                <w:rFonts w:ascii="Verdana" w:hAnsi="Verdana"/>
                <w:bCs/>
                <w:sz w:val="20"/>
              </w:rPr>
            </w:pPr>
            <w:proofErr w:type="spellStart"/>
            <w:r w:rsidRPr="00151B14">
              <w:rPr>
                <w:rFonts w:ascii="Verdana" w:hAnsi="Verdana"/>
                <w:bCs/>
                <w:sz w:val="20"/>
              </w:rPr>
              <w:t>Subpartida</w:t>
            </w:r>
            <w:proofErr w:type="spellEnd"/>
            <w:r w:rsidRPr="00151B14">
              <w:rPr>
                <w:rFonts w:ascii="Verdana" w:hAnsi="Verdana"/>
                <w:bCs/>
                <w:sz w:val="20"/>
              </w:rPr>
              <w:t xml:space="preserve"> 7209.17</w:t>
            </w:r>
          </w:p>
        </w:tc>
        <w:tc>
          <w:tcPr>
            <w:tcW w:w="6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 xml:space="preserve">-- De espesor superior o igual a 0.5 mm pero inferior o igual a 1 </w:t>
            </w:r>
            <w:proofErr w:type="spellStart"/>
            <w:r w:rsidRPr="00151B14">
              <w:rPr>
                <w:rFonts w:ascii="Verdana" w:hAnsi="Verdana"/>
                <w:bCs/>
                <w:sz w:val="20"/>
              </w:rPr>
              <w:t>mm.</w:t>
            </w:r>
            <w:proofErr w:type="spellEnd"/>
          </w:p>
        </w:tc>
      </w:tr>
      <w:tr w:rsidR="00151B14" w:rsidRPr="00151B14" w:rsidTr="00151B14">
        <w:tc>
          <w:tcPr>
            <w:tcW w:w="18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Fracción 7209.17.01</w:t>
            </w:r>
          </w:p>
        </w:tc>
        <w:tc>
          <w:tcPr>
            <w:tcW w:w="6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1B14" w:rsidRPr="00151B14" w:rsidRDefault="00151B14" w:rsidP="00151B14">
            <w:pPr>
              <w:jc w:val="both"/>
              <w:rPr>
                <w:rFonts w:ascii="Verdana" w:hAnsi="Verdana"/>
                <w:bCs/>
                <w:sz w:val="20"/>
              </w:rPr>
            </w:pPr>
            <w:r w:rsidRPr="00151B14">
              <w:rPr>
                <w:rFonts w:ascii="Verdana" w:hAnsi="Verdana"/>
                <w:bCs/>
                <w:sz w:val="20"/>
              </w:rPr>
              <w:t xml:space="preserve">De espesor superior o igual a 0.5 mm pero inferior o igual a 1 </w:t>
            </w:r>
            <w:proofErr w:type="spellStart"/>
            <w:r w:rsidRPr="00151B14">
              <w:rPr>
                <w:rFonts w:ascii="Verdana" w:hAnsi="Verdana"/>
                <w:bCs/>
                <w:sz w:val="20"/>
              </w:rPr>
              <w:t>mm.</w:t>
            </w:r>
            <w:proofErr w:type="spellEnd"/>
          </w:p>
        </w:tc>
      </w:tr>
    </w:tbl>
    <w:p w:rsidR="00151B14" w:rsidRPr="00151B14" w:rsidRDefault="00151B14" w:rsidP="00151B14">
      <w:pPr>
        <w:jc w:val="both"/>
        <w:rPr>
          <w:rFonts w:ascii="Verdana" w:hAnsi="Verdana"/>
          <w:bCs/>
          <w:sz w:val="20"/>
        </w:rPr>
      </w:pPr>
      <w:r w:rsidRPr="00151B14">
        <w:rPr>
          <w:rFonts w:ascii="Verdana" w:hAnsi="Verdana"/>
          <w:bCs/>
          <w:sz w:val="20"/>
        </w:rPr>
        <w:t>Fuente: Sistema de Información Arancelaria Vía Internet (SIAVI).</w:t>
      </w:r>
    </w:p>
    <w:p w:rsidR="00151B14" w:rsidRPr="00151B14" w:rsidRDefault="00151B14" w:rsidP="00151B14">
      <w:pPr>
        <w:jc w:val="both"/>
        <w:rPr>
          <w:rFonts w:ascii="Verdana" w:hAnsi="Verdana"/>
          <w:bCs/>
          <w:sz w:val="20"/>
        </w:rPr>
      </w:pPr>
      <w:r w:rsidRPr="00151B14">
        <w:rPr>
          <w:rFonts w:ascii="Verdana" w:hAnsi="Verdana"/>
          <w:b/>
          <w:bCs/>
          <w:sz w:val="20"/>
        </w:rPr>
        <w:t>11.</w:t>
      </w:r>
      <w:r w:rsidRPr="00151B14">
        <w:rPr>
          <w:rFonts w:ascii="Verdana" w:hAnsi="Verdana"/>
          <w:bCs/>
          <w:sz w:val="20"/>
        </w:rPr>
        <w:t> La unidad de medida que utiliza la TIGIE es el kilogramo, aunque las operaciones comerciales se realizan normalmente en toneladas métricas.</w:t>
      </w:r>
    </w:p>
    <w:p w:rsidR="00151B14" w:rsidRPr="00151B14" w:rsidRDefault="00151B14" w:rsidP="00151B14">
      <w:pPr>
        <w:jc w:val="both"/>
        <w:rPr>
          <w:rFonts w:ascii="Verdana" w:hAnsi="Verdana"/>
          <w:bCs/>
          <w:sz w:val="20"/>
        </w:rPr>
      </w:pPr>
      <w:r w:rsidRPr="00151B14">
        <w:rPr>
          <w:rFonts w:ascii="Verdana" w:hAnsi="Verdana"/>
          <w:b/>
          <w:bCs/>
          <w:sz w:val="20"/>
        </w:rPr>
        <w:lastRenderedPageBreak/>
        <w:t>12.</w:t>
      </w:r>
      <w:r w:rsidRPr="00151B14">
        <w:rPr>
          <w:rFonts w:ascii="Verdana" w:hAnsi="Verdana"/>
          <w:bCs/>
          <w:sz w:val="20"/>
        </w:rPr>
        <w:t> De acuerdo con el SIAVI, las importaciones que ingresan por las fracciones arancelarias 7209.16.01 y 7209.17.01 de la TIGIE están sujetas a un arancel del 15%, aplicable a partir del 26 de marzo de 2019, en virtud del "Decreto por el que se modifica la Tarifa de la Ley de los Impuestos Generales de Importación y de Exportación", publicado en el DOF el 25 de marzo de 2019.</w:t>
      </w:r>
    </w:p>
    <w:p w:rsidR="00151B14" w:rsidRPr="00151B14" w:rsidRDefault="00151B14" w:rsidP="00151B14">
      <w:pPr>
        <w:jc w:val="both"/>
        <w:rPr>
          <w:rFonts w:ascii="Verdana" w:hAnsi="Verdana"/>
          <w:bCs/>
          <w:sz w:val="20"/>
        </w:rPr>
      </w:pPr>
      <w:r w:rsidRPr="00151B14">
        <w:rPr>
          <w:rFonts w:ascii="Verdana" w:hAnsi="Verdana"/>
          <w:b/>
          <w:bCs/>
          <w:sz w:val="20"/>
        </w:rPr>
        <w:t>13.</w:t>
      </w:r>
      <w:r w:rsidRPr="00151B14">
        <w:rPr>
          <w:rFonts w:ascii="Verdana" w:hAnsi="Verdana"/>
          <w:bCs/>
          <w:sz w:val="20"/>
        </w:rPr>
        <w:t> 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comprendidas en las fracciones arancelarias 7209.16.01 y 7209.17.01 de la TIGIE, para efectos de monitoreo estadístico comercial cuando se destinen al régimen aduanero de importación definitiva.</w:t>
      </w:r>
    </w:p>
    <w:p w:rsidR="00151B14" w:rsidRPr="00151B14" w:rsidRDefault="00151B14" w:rsidP="00151B14">
      <w:pPr>
        <w:jc w:val="both"/>
        <w:rPr>
          <w:rFonts w:ascii="Verdana" w:hAnsi="Verdana"/>
          <w:bCs/>
          <w:sz w:val="20"/>
        </w:rPr>
      </w:pPr>
      <w:r w:rsidRPr="00151B14">
        <w:rPr>
          <w:rFonts w:ascii="Verdana" w:hAnsi="Verdana"/>
          <w:b/>
          <w:bCs/>
          <w:sz w:val="20"/>
        </w:rPr>
        <w:t>4. Proceso productivo</w:t>
      </w:r>
    </w:p>
    <w:p w:rsidR="00151B14" w:rsidRPr="00151B14" w:rsidRDefault="00151B14" w:rsidP="00151B14">
      <w:pPr>
        <w:jc w:val="both"/>
        <w:rPr>
          <w:rFonts w:ascii="Verdana" w:hAnsi="Verdana"/>
          <w:bCs/>
          <w:sz w:val="20"/>
        </w:rPr>
      </w:pPr>
      <w:r w:rsidRPr="00151B14">
        <w:rPr>
          <w:rFonts w:ascii="Verdana" w:hAnsi="Verdana"/>
          <w:b/>
          <w:bCs/>
          <w:sz w:val="20"/>
        </w:rPr>
        <w:t>14.</w:t>
      </w:r>
      <w:r w:rsidRPr="00151B14">
        <w:rPr>
          <w:rFonts w:ascii="Verdana" w:hAnsi="Verdana"/>
          <w:bCs/>
          <w:sz w:val="20"/>
        </w:rPr>
        <w:t xml:space="preserve"> El proceso de fabricación de la lámina rolada en frío es similar en todo el mundo y únicamente varía en el grado de automatización. Inicia con la obtención del acero líquido mediante la fundición, fundamentalmente en Hornos Básicos al Oxígeno ("BOF" por las siglas en inglés Basic </w:t>
      </w:r>
      <w:proofErr w:type="spellStart"/>
      <w:r w:rsidRPr="00151B14">
        <w:rPr>
          <w:rFonts w:ascii="Verdana" w:hAnsi="Verdana"/>
          <w:bCs/>
          <w:sz w:val="20"/>
        </w:rPr>
        <w:t>Oxygen</w:t>
      </w:r>
      <w:proofErr w:type="spellEnd"/>
      <w:r w:rsidRPr="00151B14">
        <w:rPr>
          <w:rFonts w:ascii="Verdana" w:hAnsi="Verdana"/>
          <w:bCs/>
          <w:sz w:val="20"/>
        </w:rPr>
        <w:t xml:space="preserve"> </w:t>
      </w:r>
      <w:proofErr w:type="spellStart"/>
      <w:r w:rsidRPr="00151B14">
        <w:rPr>
          <w:rFonts w:ascii="Verdana" w:hAnsi="Verdana"/>
          <w:bCs/>
          <w:sz w:val="20"/>
        </w:rPr>
        <w:t>Furnace</w:t>
      </w:r>
      <w:proofErr w:type="spellEnd"/>
      <w:r w:rsidRPr="00151B14">
        <w:rPr>
          <w:rFonts w:ascii="Verdana" w:hAnsi="Verdana"/>
          <w:bCs/>
          <w:sz w:val="20"/>
        </w:rPr>
        <w:t xml:space="preserve">) y Hornos de Arco Eléctrico ("EF", por las siglas en inglés de Electric </w:t>
      </w:r>
      <w:proofErr w:type="spellStart"/>
      <w:r w:rsidRPr="00151B14">
        <w:rPr>
          <w:rFonts w:ascii="Verdana" w:hAnsi="Verdana"/>
          <w:bCs/>
          <w:sz w:val="20"/>
        </w:rPr>
        <w:t>Furnace</w:t>
      </w:r>
      <w:proofErr w:type="spellEnd"/>
      <w:r w:rsidRPr="00151B14">
        <w:rPr>
          <w:rFonts w:ascii="Verdana" w:hAnsi="Verdana"/>
          <w:bCs/>
          <w:sz w:val="20"/>
        </w:rPr>
        <w:t>).</w:t>
      </w:r>
    </w:p>
    <w:p w:rsidR="00151B14" w:rsidRPr="00151B14" w:rsidRDefault="00151B14" w:rsidP="00151B14">
      <w:pPr>
        <w:jc w:val="both"/>
        <w:rPr>
          <w:rFonts w:ascii="Verdana" w:hAnsi="Verdana"/>
          <w:bCs/>
          <w:sz w:val="20"/>
        </w:rPr>
      </w:pPr>
      <w:r w:rsidRPr="00151B14">
        <w:rPr>
          <w:rFonts w:ascii="Verdana" w:hAnsi="Verdana"/>
          <w:b/>
          <w:bCs/>
          <w:sz w:val="20"/>
        </w:rPr>
        <w:t>15.</w:t>
      </w:r>
      <w:r w:rsidRPr="00151B14">
        <w:rPr>
          <w:rFonts w:ascii="Verdana" w:hAnsi="Verdana"/>
          <w:bCs/>
          <w:sz w:val="20"/>
        </w:rPr>
        <w:t> El acero líquido que se obtiene por cualquiera de estos hornos se transporta en ollas que se vacían en una máquina de colada continua para obtener planchones. Estos productos se recalientan y pasan por un molino laminador que los reduce hasta formar una tira de lámina de acero con el espesor y ancho deseados, y finalmente se enrollan para formar rollos o bobinas de lámina en caliente.</w:t>
      </w:r>
    </w:p>
    <w:p w:rsidR="00151B14" w:rsidRPr="00151B14" w:rsidRDefault="00151B14" w:rsidP="00151B14">
      <w:pPr>
        <w:jc w:val="both"/>
        <w:rPr>
          <w:rFonts w:ascii="Verdana" w:hAnsi="Verdana"/>
          <w:bCs/>
          <w:sz w:val="20"/>
        </w:rPr>
      </w:pPr>
      <w:r w:rsidRPr="00151B14">
        <w:rPr>
          <w:rFonts w:ascii="Verdana" w:hAnsi="Verdana"/>
          <w:b/>
          <w:bCs/>
          <w:sz w:val="20"/>
        </w:rPr>
        <w:t>16.</w:t>
      </w:r>
      <w:r w:rsidRPr="00151B14">
        <w:rPr>
          <w:rFonts w:ascii="Verdana" w:hAnsi="Verdana"/>
          <w:bCs/>
          <w:sz w:val="20"/>
        </w:rPr>
        <w:t> La lámina rolada en caliente puede venderse directamente al cliente o utilizarse como insumo para elaborar lámina rolada en frío. Para ello, el rollo laminado en caliente se lava y decapa, para después reducir su espesor mediante molinos de laminación en frío; posteriormente se efectúa el proceso de recocido, el cual le brinda flexibilidad y ductilidad.</w:t>
      </w:r>
    </w:p>
    <w:p w:rsidR="00151B14" w:rsidRPr="00151B14" w:rsidRDefault="00151B14" w:rsidP="00151B14">
      <w:pPr>
        <w:jc w:val="both"/>
        <w:rPr>
          <w:rFonts w:ascii="Verdana" w:hAnsi="Verdana"/>
          <w:bCs/>
          <w:sz w:val="20"/>
        </w:rPr>
      </w:pPr>
      <w:r w:rsidRPr="00151B14">
        <w:rPr>
          <w:rFonts w:ascii="Verdana" w:hAnsi="Verdana"/>
          <w:b/>
          <w:bCs/>
          <w:sz w:val="20"/>
        </w:rPr>
        <w:t>17.</w:t>
      </w:r>
      <w:r w:rsidRPr="00151B14">
        <w:rPr>
          <w:rFonts w:ascii="Verdana" w:hAnsi="Verdana"/>
          <w:bCs/>
          <w:sz w:val="20"/>
        </w:rPr>
        <w:t> Finalmente, la lámina fría recocida pasa a los molinos templadores donde se modifican sus propiedades físicas tales como espesor, resistencia y acabado superficial; que permiten utilizarla como insumo de las industrias de línea blanca, automotriz, tubería y construcción. Adicionalmente, se le imprime el acabado mate o brillante que distingue a la lámina fría de la caliente.</w:t>
      </w:r>
    </w:p>
    <w:p w:rsidR="00151B14" w:rsidRPr="00151B14" w:rsidRDefault="00151B14" w:rsidP="00151B14">
      <w:pPr>
        <w:jc w:val="both"/>
        <w:rPr>
          <w:rFonts w:ascii="Verdana" w:hAnsi="Verdana"/>
          <w:bCs/>
          <w:sz w:val="20"/>
        </w:rPr>
      </w:pPr>
      <w:r w:rsidRPr="00151B14">
        <w:rPr>
          <w:rFonts w:ascii="Verdana" w:hAnsi="Verdana"/>
          <w:b/>
          <w:bCs/>
          <w:sz w:val="20"/>
        </w:rPr>
        <w:t>5. Normas</w:t>
      </w:r>
    </w:p>
    <w:p w:rsidR="00151B14" w:rsidRPr="00151B14" w:rsidRDefault="00151B14" w:rsidP="00151B14">
      <w:pPr>
        <w:jc w:val="both"/>
        <w:rPr>
          <w:rFonts w:ascii="Verdana" w:hAnsi="Verdana"/>
          <w:bCs/>
          <w:sz w:val="20"/>
        </w:rPr>
      </w:pPr>
      <w:r w:rsidRPr="00151B14">
        <w:rPr>
          <w:rFonts w:ascii="Verdana" w:hAnsi="Verdana"/>
          <w:b/>
          <w:bCs/>
          <w:sz w:val="20"/>
        </w:rPr>
        <w:t>18.</w:t>
      </w:r>
      <w:r w:rsidRPr="00151B14">
        <w:rPr>
          <w:rFonts w:ascii="Verdana" w:hAnsi="Verdana"/>
          <w:bCs/>
          <w:sz w:val="20"/>
        </w:rPr>
        <w:t xml:space="preserve"> La lámina rolada en frío normalmente se produce conforme a las especificaciones de las normas de la Sociedad Americana para Pruebas y Materiales ("ASTM", por las siglas en inglés de American </w:t>
      </w:r>
      <w:proofErr w:type="spellStart"/>
      <w:r w:rsidRPr="00151B14">
        <w:rPr>
          <w:rFonts w:ascii="Verdana" w:hAnsi="Verdana"/>
          <w:bCs/>
          <w:sz w:val="20"/>
        </w:rPr>
        <w:t>Society</w:t>
      </w:r>
      <w:proofErr w:type="spellEnd"/>
      <w:r w:rsidRPr="00151B14">
        <w:rPr>
          <w:rFonts w:ascii="Verdana" w:hAnsi="Verdana"/>
          <w:bCs/>
          <w:sz w:val="20"/>
        </w:rPr>
        <w:t xml:space="preserve"> </w:t>
      </w:r>
      <w:proofErr w:type="spellStart"/>
      <w:r w:rsidRPr="00151B14">
        <w:rPr>
          <w:rFonts w:ascii="Verdana" w:hAnsi="Verdana"/>
          <w:bCs/>
          <w:sz w:val="20"/>
        </w:rPr>
        <w:t>for</w:t>
      </w:r>
      <w:proofErr w:type="spellEnd"/>
      <w:r w:rsidRPr="00151B14">
        <w:rPr>
          <w:rFonts w:ascii="Verdana" w:hAnsi="Verdana"/>
          <w:bCs/>
          <w:sz w:val="20"/>
        </w:rPr>
        <w:t> </w:t>
      </w:r>
      <w:proofErr w:type="spellStart"/>
      <w:r w:rsidRPr="00151B14">
        <w:rPr>
          <w:rFonts w:ascii="Verdana" w:hAnsi="Verdana"/>
          <w:bCs/>
          <w:sz w:val="20"/>
        </w:rPr>
        <w:t>Testing</w:t>
      </w:r>
      <w:proofErr w:type="spellEnd"/>
      <w:r w:rsidRPr="00151B14">
        <w:rPr>
          <w:rFonts w:ascii="Verdana" w:hAnsi="Verdana"/>
          <w:bCs/>
          <w:sz w:val="20"/>
        </w:rPr>
        <w:t xml:space="preserve"> and </w:t>
      </w:r>
      <w:proofErr w:type="spellStart"/>
      <w:r w:rsidRPr="00151B14">
        <w:rPr>
          <w:rFonts w:ascii="Verdana" w:hAnsi="Verdana"/>
          <w:bCs/>
          <w:sz w:val="20"/>
        </w:rPr>
        <w:t>Materials</w:t>
      </w:r>
      <w:proofErr w:type="spellEnd"/>
      <w:r w:rsidRPr="00151B14">
        <w:rPr>
          <w:rFonts w:ascii="Verdana" w:hAnsi="Verdana"/>
          <w:bCs/>
          <w:sz w:val="20"/>
        </w:rPr>
        <w:t xml:space="preserve">), de la Sociedad de Ingenieros Automotrices ("SAE", por las siglas en inglés de </w:t>
      </w:r>
      <w:proofErr w:type="spellStart"/>
      <w:r w:rsidRPr="00151B14">
        <w:rPr>
          <w:rFonts w:ascii="Verdana" w:hAnsi="Verdana"/>
          <w:bCs/>
          <w:sz w:val="20"/>
        </w:rPr>
        <w:t>Society</w:t>
      </w:r>
      <w:proofErr w:type="spellEnd"/>
      <w:r w:rsidRPr="00151B14">
        <w:rPr>
          <w:rFonts w:ascii="Verdana" w:hAnsi="Verdana"/>
          <w:bCs/>
          <w:sz w:val="20"/>
        </w:rPr>
        <w:t xml:space="preserve"> of </w:t>
      </w:r>
      <w:proofErr w:type="spellStart"/>
      <w:r w:rsidRPr="00151B14">
        <w:rPr>
          <w:rFonts w:ascii="Verdana" w:hAnsi="Verdana"/>
          <w:bCs/>
          <w:sz w:val="20"/>
        </w:rPr>
        <w:t>Automotive</w:t>
      </w:r>
      <w:proofErr w:type="spellEnd"/>
      <w:r w:rsidRPr="00151B14">
        <w:rPr>
          <w:rFonts w:ascii="Verdana" w:hAnsi="Verdana"/>
          <w:bCs/>
          <w:sz w:val="20"/>
        </w:rPr>
        <w:t xml:space="preserve"> </w:t>
      </w:r>
      <w:proofErr w:type="spellStart"/>
      <w:r w:rsidRPr="00151B14">
        <w:rPr>
          <w:rFonts w:ascii="Verdana" w:hAnsi="Verdana"/>
          <w:bCs/>
          <w:sz w:val="20"/>
        </w:rPr>
        <w:t>Engineers</w:t>
      </w:r>
      <w:proofErr w:type="spellEnd"/>
      <w:r w:rsidRPr="00151B14">
        <w:rPr>
          <w:rFonts w:ascii="Verdana" w:hAnsi="Verdana"/>
          <w:bCs/>
          <w:sz w:val="20"/>
        </w:rPr>
        <w:t xml:space="preserve">), de las Normas Industriales de Japón ("JIS", por las siglas en inglés de </w:t>
      </w:r>
      <w:proofErr w:type="spellStart"/>
      <w:r w:rsidRPr="00151B14">
        <w:rPr>
          <w:rFonts w:ascii="Verdana" w:hAnsi="Verdana"/>
          <w:bCs/>
          <w:sz w:val="20"/>
        </w:rPr>
        <w:t>Japan</w:t>
      </w:r>
      <w:proofErr w:type="spellEnd"/>
      <w:r w:rsidRPr="00151B14">
        <w:rPr>
          <w:rFonts w:ascii="Verdana" w:hAnsi="Verdana"/>
          <w:bCs/>
          <w:sz w:val="20"/>
        </w:rPr>
        <w:t xml:space="preserve"> Industrial </w:t>
      </w:r>
      <w:proofErr w:type="spellStart"/>
      <w:r w:rsidRPr="00151B14">
        <w:rPr>
          <w:rFonts w:ascii="Verdana" w:hAnsi="Verdana"/>
          <w:bCs/>
          <w:sz w:val="20"/>
        </w:rPr>
        <w:t>Standards</w:t>
      </w:r>
      <w:proofErr w:type="spellEnd"/>
      <w:r w:rsidRPr="00151B14">
        <w:rPr>
          <w:rFonts w:ascii="Verdana" w:hAnsi="Verdana"/>
          <w:bCs/>
          <w:sz w:val="20"/>
        </w:rPr>
        <w:t xml:space="preserve">) y del Instituto Alemán de Normas ("DIN", por las siglas en </w:t>
      </w:r>
      <w:r w:rsidRPr="00151B14">
        <w:rPr>
          <w:rFonts w:ascii="Verdana" w:hAnsi="Verdana"/>
          <w:bCs/>
          <w:sz w:val="20"/>
        </w:rPr>
        <w:lastRenderedPageBreak/>
        <w:t>alemán de </w:t>
      </w:r>
      <w:proofErr w:type="spellStart"/>
      <w:r w:rsidRPr="00151B14">
        <w:rPr>
          <w:rFonts w:ascii="Verdana" w:hAnsi="Verdana"/>
          <w:bCs/>
          <w:sz w:val="20"/>
        </w:rPr>
        <w:t>Deutsches</w:t>
      </w:r>
      <w:proofErr w:type="spellEnd"/>
      <w:r w:rsidRPr="00151B14">
        <w:rPr>
          <w:rFonts w:ascii="Verdana" w:hAnsi="Verdana"/>
          <w:bCs/>
          <w:sz w:val="20"/>
        </w:rPr>
        <w:t> </w:t>
      </w:r>
      <w:proofErr w:type="spellStart"/>
      <w:r w:rsidRPr="00151B14">
        <w:rPr>
          <w:rFonts w:ascii="Verdana" w:hAnsi="Verdana"/>
          <w:bCs/>
          <w:sz w:val="20"/>
        </w:rPr>
        <w:t>Institut</w:t>
      </w:r>
      <w:proofErr w:type="spellEnd"/>
      <w:r w:rsidRPr="00151B14">
        <w:rPr>
          <w:rFonts w:ascii="Verdana" w:hAnsi="Verdana"/>
          <w:bCs/>
          <w:sz w:val="20"/>
        </w:rPr>
        <w:t> </w:t>
      </w:r>
      <w:proofErr w:type="spellStart"/>
      <w:r w:rsidRPr="00151B14">
        <w:rPr>
          <w:rFonts w:ascii="Verdana" w:hAnsi="Verdana"/>
          <w:bCs/>
          <w:sz w:val="20"/>
        </w:rPr>
        <w:t>für</w:t>
      </w:r>
      <w:proofErr w:type="spellEnd"/>
      <w:r w:rsidRPr="00151B14">
        <w:rPr>
          <w:rFonts w:ascii="Verdana" w:hAnsi="Verdana"/>
          <w:bCs/>
          <w:sz w:val="20"/>
        </w:rPr>
        <w:t xml:space="preserve"> </w:t>
      </w:r>
      <w:proofErr w:type="spellStart"/>
      <w:r w:rsidRPr="00151B14">
        <w:rPr>
          <w:rFonts w:ascii="Verdana" w:hAnsi="Verdana"/>
          <w:bCs/>
          <w:sz w:val="20"/>
        </w:rPr>
        <w:t>Normung</w:t>
      </w:r>
      <w:proofErr w:type="spellEnd"/>
      <w:r w:rsidRPr="00151B14">
        <w:rPr>
          <w:rFonts w:ascii="Verdana" w:hAnsi="Verdana"/>
          <w:bCs/>
          <w:sz w:val="20"/>
        </w:rPr>
        <w:t>), cuyo cumplimiento facilita su comercialización, ya que los consumidores tienen la seguridad de que tiene propiedades físicas y químicas homogéneas, cualquiera que sea su origen.</w:t>
      </w:r>
    </w:p>
    <w:p w:rsidR="00151B14" w:rsidRPr="00151B14" w:rsidRDefault="00151B14" w:rsidP="00151B14">
      <w:pPr>
        <w:jc w:val="both"/>
        <w:rPr>
          <w:rFonts w:ascii="Verdana" w:hAnsi="Verdana"/>
          <w:bCs/>
          <w:sz w:val="20"/>
        </w:rPr>
      </w:pPr>
      <w:r w:rsidRPr="00151B14">
        <w:rPr>
          <w:rFonts w:ascii="Verdana" w:hAnsi="Verdana"/>
          <w:b/>
          <w:bCs/>
          <w:sz w:val="20"/>
        </w:rPr>
        <w:t>6. Usos y funciones</w:t>
      </w:r>
    </w:p>
    <w:p w:rsidR="00151B14" w:rsidRPr="00151B14" w:rsidRDefault="00151B14" w:rsidP="00151B14">
      <w:pPr>
        <w:jc w:val="both"/>
        <w:rPr>
          <w:rFonts w:ascii="Verdana" w:hAnsi="Verdana"/>
          <w:bCs/>
          <w:sz w:val="20"/>
        </w:rPr>
      </w:pPr>
      <w:r w:rsidRPr="00151B14">
        <w:rPr>
          <w:rFonts w:ascii="Verdana" w:hAnsi="Verdana"/>
          <w:b/>
          <w:bCs/>
          <w:sz w:val="20"/>
        </w:rPr>
        <w:t>19.</w:t>
      </w:r>
      <w:r w:rsidRPr="00151B14">
        <w:rPr>
          <w:rFonts w:ascii="Verdana" w:hAnsi="Verdana"/>
          <w:bCs/>
          <w:sz w:val="20"/>
        </w:rPr>
        <w:t> La lámina rolada en frío se utiliza como materia prima en las industrias de línea blanca, automotriz, de tubería y de la construcción para fabricar diversos bienes intermedios y de capital, por ejemplo, componentes de chasis, laminaciones para motores eléctricos, piezas automotrices no expuestas, cárteres automotrices, defensas, escapes, perfiles, polines, envases, recipientes, electrodomésticos, gabinetes, envases litografiados, tubería soldada, paneles de puertas y ventanas, y conchas de carretillas. También se utiliza como insumo para producir lámina galvanizada, cromada y estañada (recubrimiento de zinc, cromo y estaño, respectivamente) u hojalata.</w:t>
      </w:r>
    </w:p>
    <w:p w:rsidR="00151B14" w:rsidRPr="00151B14" w:rsidRDefault="00151B14" w:rsidP="00151B14">
      <w:pPr>
        <w:jc w:val="both"/>
        <w:rPr>
          <w:rFonts w:ascii="Verdana" w:hAnsi="Verdana"/>
          <w:bCs/>
          <w:sz w:val="20"/>
        </w:rPr>
      </w:pPr>
      <w:r w:rsidRPr="00151B14">
        <w:rPr>
          <w:rFonts w:ascii="Verdana" w:hAnsi="Verdana"/>
          <w:b/>
          <w:bCs/>
          <w:sz w:val="20"/>
        </w:rPr>
        <w:t>F. Posibles partes interesadas</w:t>
      </w:r>
    </w:p>
    <w:p w:rsidR="00151B14" w:rsidRPr="00151B14" w:rsidRDefault="00151B14" w:rsidP="00151B14">
      <w:pPr>
        <w:jc w:val="both"/>
        <w:rPr>
          <w:rFonts w:ascii="Verdana" w:hAnsi="Verdana"/>
          <w:bCs/>
          <w:sz w:val="20"/>
        </w:rPr>
      </w:pPr>
      <w:r w:rsidRPr="00151B14">
        <w:rPr>
          <w:rFonts w:ascii="Verdana" w:hAnsi="Verdana"/>
          <w:b/>
          <w:bCs/>
          <w:sz w:val="20"/>
        </w:rPr>
        <w:t>20.</w:t>
      </w:r>
      <w:r w:rsidRPr="00151B14">
        <w:rPr>
          <w:rFonts w:ascii="Verdana" w:hAnsi="Verdana"/>
          <w:bCs/>
          <w:sz w:val="20"/>
        </w:rPr>
        <w:t> Las partes de que la Secretaría tiene conocimiento y que podrían tener interés en comparecer al presente procedimiento, son las siguientes:</w:t>
      </w:r>
    </w:p>
    <w:p w:rsidR="00151B14" w:rsidRPr="00151B14" w:rsidRDefault="00151B14" w:rsidP="00151B14">
      <w:pPr>
        <w:jc w:val="both"/>
        <w:rPr>
          <w:rFonts w:ascii="Verdana" w:hAnsi="Verdana"/>
          <w:bCs/>
          <w:sz w:val="20"/>
        </w:rPr>
      </w:pPr>
      <w:r w:rsidRPr="00151B14">
        <w:rPr>
          <w:rFonts w:ascii="Verdana" w:hAnsi="Verdana"/>
          <w:b/>
          <w:bCs/>
          <w:sz w:val="20"/>
        </w:rPr>
        <w:t>1. Productores nacionales</w:t>
      </w:r>
    </w:p>
    <w:p w:rsidR="00151B14" w:rsidRPr="00151B14" w:rsidRDefault="00151B14" w:rsidP="00151B14">
      <w:pPr>
        <w:jc w:val="both"/>
        <w:rPr>
          <w:rFonts w:ascii="Verdana" w:hAnsi="Verdana"/>
          <w:bCs/>
          <w:sz w:val="20"/>
        </w:rPr>
      </w:pPr>
      <w:r w:rsidRPr="00151B14">
        <w:rPr>
          <w:rFonts w:ascii="Verdana" w:hAnsi="Verdana"/>
          <w:bCs/>
          <w:sz w:val="20"/>
        </w:rPr>
        <w:t>Altos Hornos de México, S.A.B. de C.V.</w:t>
      </w:r>
    </w:p>
    <w:p w:rsidR="00151B14" w:rsidRPr="00151B14" w:rsidRDefault="00151B14" w:rsidP="00151B14">
      <w:pPr>
        <w:jc w:val="both"/>
        <w:rPr>
          <w:rFonts w:ascii="Verdana" w:hAnsi="Verdana"/>
          <w:bCs/>
          <w:sz w:val="20"/>
        </w:rPr>
      </w:pPr>
      <w:r w:rsidRPr="00151B14">
        <w:rPr>
          <w:rFonts w:ascii="Verdana" w:hAnsi="Verdana"/>
          <w:bCs/>
          <w:sz w:val="20"/>
        </w:rPr>
        <w:t>Av. Campos Elíseos 29, piso 4</w:t>
      </w:r>
    </w:p>
    <w:p w:rsidR="00151B14" w:rsidRPr="00151B14" w:rsidRDefault="00151B14" w:rsidP="00151B14">
      <w:pPr>
        <w:jc w:val="both"/>
        <w:rPr>
          <w:rFonts w:ascii="Verdana" w:hAnsi="Verdana"/>
          <w:bCs/>
          <w:sz w:val="20"/>
        </w:rPr>
      </w:pPr>
      <w:r w:rsidRPr="00151B14">
        <w:rPr>
          <w:rFonts w:ascii="Verdana" w:hAnsi="Verdana"/>
          <w:bCs/>
          <w:sz w:val="20"/>
        </w:rPr>
        <w:t>Col. Rincón del Bosque</w:t>
      </w:r>
    </w:p>
    <w:p w:rsidR="00151B14" w:rsidRPr="00151B14" w:rsidRDefault="00151B14" w:rsidP="00151B14">
      <w:pPr>
        <w:jc w:val="both"/>
        <w:rPr>
          <w:rFonts w:ascii="Verdana" w:hAnsi="Verdana"/>
          <w:bCs/>
          <w:sz w:val="20"/>
        </w:rPr>
      </w:pPr>
      <w:r w:rsidRPr="00151B14">
        <w:rPr>
          <w:rFonts w:ascii="Verdana" w:hAnsi="Verdana"/>
          <w:bCs/>
          <w:sz w:val="20"/>
        </w:rPr>
        <w:t>C.P. 11580, Ciudad de México</w:t>
      </w:r>
    </w:p>
    <w:p w:rsidR="00151B14" w:rsidRPr="00151B14" w:rsidRDefault="00151B14" w:rsidP="00151B14">
      <w:pPr>
        <w:jc w:val="both"/>
        <w:rPr>
          <w:rFonts w:ascii="Verdana" w:hAnsi="Verdana"/>
          <w:bCs/>
          <w:sz w:val="20"/>
        </w:rPr>
      </w:pPr>
      <w:proofErr w:type="spellStart"/>
      <w:r w:rsidRPr="00151B14">
        <w:rPr>
          <w:rFonts w:ascii="Verdana" w:hAnsi="Verdana"/>
          <w:bCs/>
          <w:sz w:val="20"/>
        </w:rPr>
        <w:t>Ternium</w:t>
      </w:r>
      <w:proofErr w:type="spellEnd"/>
      <w:r w:rsidRPr="00151B14">
        <w:rPr>
          <w:rFonts w:ascii="Verdana" w:hAnsi="Verdana"/>
          <w:bCs/>
          <w:sz w:val="20"/>
        </w:rPr>
        <w:t xml:space="preserve"> México, S.A. de C.V.</w:t>
      </w:r>
    </w:p>
    <w:p w:rsidR="00151B14" w:rsidRPr="00151B14" w:rsidRDefault="00151B14" w:rsidP="00151B14">
      <w:pPr>
        <w:jc w:val="both"/>
        <w:rPr>
          <w:rFonts w:ascii="Verdana" w:hAnsi="Verdana"/>
          <w:bCs/>
          <w:sz w:val="20"/>
        </w:rPr>
      </w:pPr>
      <w:r w:rsidRPr="00151B14">
        <w:rPr>
          <w:rFonts w:ascii="Verdana" w:hAnsi="Verdana"/>
          <w:bCs/>
          <w:sz w:val="20"/>
        </w:rPr>
        <w:t xml:space="preserve">Av. </w:t>
      </w:r>
      <w:proofErr w:type="spellStart"/>
      <w:r w:rsidRPr="00151B14">
        <w:rPr>
          <w:rFonts w:ascii="Verdana" w:hAnsi="Verdana"/>
          <w:bCs/>
          <w:sz w:val="20"/>
        </w:rPr>
        <w:t>Munich</w:t>
      </w:r>
      <w:proofErr w:type="spellEnd"/>
      <w:r w:rsidRPr="00151B14">
        <w:rPr>
          <w:rFonts w:ascii="Verdana" w:hAnsi="Verdana"/>
          <w:bCs/>
          <w:sz w:val="20"/>
        </w:rPr>
        <w:t xml:space="preserve"> 101</w:t>
      </w:r>
    </w:p>
    <w:p w:rsidR="00151B14" w:rsidRPr="00151B14" w:rsidRDefault="00151B14" w:rsidP="00151B14">
      <w:pPr>
        <w:jc w:val="both"/>
        <w:rPr>
          <w:rFonts w:ascii="Verdana" w:hAnsi="Verdana"/>
          <w:bCs/>
          <w:sz w:val="20"/>
        </w:rPr>
      </w:pPr>
      <w:r w:rsidRPr="00151B14">
        <w:rPr>
          <w:rFonts w:ascii="Verdana" w:hAnsi="Verdana"/>
          <w:bCs/>
          <w:sz w:val="20"/>
        </w:rPr>
        <w:t>Col. Cuauhtémoc</w:t>
      </w:r>
    </w:p>
    <w:p w:rsidR="00151B14" w:rsidRPr="00151B14" w:rsidRDefault="00151B14" w:rsidP="00151B14">
      <w:pPr>
        <w:jc w:val="both"/>
        <w:rPr>
          <w:rFonts w:ascii="Verdana" w:hAnsi="Verdana"/>
          <w:bCs/>
          <w:sz w:val="20"/>
        </w:rPr>
      </w:pPr>
      <w:r w:rsidRPr="00151B14">
        <w:rPr>
          <w:rFonts w:ascii="Verdana" w:hAnsi="Verdana"/>
          <w:bCs/>
          <w:sz w:val="20"/>
        </w:rPr>
        <w:t>C.P. 66452, San Nicolás de los Garza, Nuevo León</w:t>
      </w:r>
    </w:p>
    <w:p w:rsidR="00151B14" w:rsidRPr="00151B14" w:rsidRDefault="00151B14" w:rsidP="00151B14">
      <w:pPr>
        <w:jc w:val="both"/>
        <w:rPr>
          <w:rFonts w:ascii="Verdana" w:hAnsi="Verdana"/>
          <w:bCs/>
          <w:sz w:val="20"/>
        </w:rPr>
      </w:pPr>
      <w:r w:rsidRPr="00151B14">
        <w:rPr>
          <w:rFonts w:ascii="Verdana" w:hAnsi="Verdana"/>
          <w:b/>
          <w:bCs/>
          <w:sz w:val="20"/>
        </w:rPr>
        <w:t>2. Gobierno</w:t>
      </w:r>
    </w:p>
    <w:p w:rsidR="00151B14" w:rsidRPr="00151B14" w:rsidRDefault="00151B14" w:rsidP="00151B14">
      <w:pPr>
        <w:jc w:val="both"/>
        <w:rPr>
          <w:rFonts w:ascii="Verdana" w:hAnsi="Verdana"/>
          <w:bCs/>
          <w:sz w:val="20"/>
        </w:rPr>
      </w:pPr>
      <w:r w:rsidRPr="00151B14">
        <w:rPr>
          <w:rFonts w:ascii="Verdana" w:hAnsi="Verdana"/>
          <w:bCs/>
          <w:sz w:val="20"/>
        </w:rPr>
        <w:t>Embajada de Rusia en México</w:t>
      </w:r>
    </w:p>
    <w:p w:rsidR="00151B14" w:rsidRPr="00151B14" w:rsidRDefault="00151B14" w:rsidP="00151B14">
      <w:pPr>
        <w:jc w:val="both"/>
        <w:rPr>
          <w:rFonts w:ascii="Verdana" w:hAnsi="Verdana"/>
          <w:bCs/>
          <w:sz w:val="20"/>
        </w:rPr>
      </w:pPr>
      <w:r w:rsidRPr="00151B14">
        <w:rPr>
          <w:rFonts w:ascii="Verdana" w:hAnsi="Verdana"/>
          <w:bCs/>
          <w:sz w:val="20"/>
        </w:rPr>
        <w:t>Av. José Vasconcelos 204</w:t>
      </w:r>
    </w:p>
    <w:p w:rsidR="00151B14" w:rsidRPr="00151B14" w:rsidRDefault="00151B14" w:rsidP="00151B14">
      <w:pPr>
        <w:jc w:val="both"/>
        <w:rPr>
          <w:rFonts w:ascii="Verdana" w:hAnsi="Verdana"/>
          <w:bCs/>
          <w:sz w:val="20"/>
        </w:rPr>
      </w:pPr>
      <w:r w:rsidRPr="00151B14">
        <w:rPr>
          <w:rFonts w:ascii="Verdana" w:hAnsi="Verdana"/>
          <w:bCs/>
          <w:sz w:val="20"/>
        </w:rPr>
        <w:t>Col. Hipódromo Condesa</w:t>
      </w:r>
    </w:p>
    <w:p w:rsidR="00151B14" w:rsidRPr="00151B14" w:rsidRDefault="00151B14" w:rsidP="00151B14">
      <w:pPr>
        <w:jc w:val="both"/>
        <w:rPr>
          <w:rFonts w:ascii="Verdana" w:hAnsi="Verdana"/>
          <w:bCs/>
          <w:sz w:val="20"/>
        </w:rPr>
      </w:pPr>
      <w:r w:rsidRPr="00151B14">
        <w:rPr>
          <w:rFonts w:ascii="Verdana" w:hAnsi="Verdana"/>
          <w:bCs/>
          <w:sz w:val="20"/>
        </w:rPr>
        <w:t>C.P. 06140, Ciudad de México</w:t>
      </w:r>
    </w:p>
    <w:p w:rsidR="00151B14" w:rsidRPr="00151B14" w:rsidRDefault="00151B14" w:rsidP="00151B14">
      <w:pPr>
        <w:jc w:val="both"/>
        <w:rPr>
          <w:rFonts w:ascii="Verdana" w:hAnsi="Verdana"/>
          <w:bCs/>
          <w:sz w:val="20"/>
        </w:rPr>
      </w:pPr>
      <w:r w:rsidRPr="00151B14">
        <w:rPr>
          <w:rFonts w:ascii="Verdana" w:hAnsi="Verdana"/>
          <w:bCs/>
          <w:sz w:val="20"/>
        </w:rPr>
        <w:t>Embajada de Kazajstán en México</w:t>
      </w:r>
    </w:p>
    <w:p w:rsidR="00151B14" w:rsidRPr="00151B14" w:rsidRDefault="00151B14" w:rsidP="00151B14">
      <w:pPr>
        <w:jc w:val="both"/>
        <w:rPr>
          <w:rFonts w:ascii="Verdana" w:hAnsi="Verdana"/>
          <w:bCs/>
          <w:sz w:val="20"/>
        </w:rPr>
      </w:pPr>
      <w:r w:rsidRPr="00151B14">
        <w:rPr>
          <w:rFonts w:ascii="Verdana" w:hAnsi="Verdana"/>
          <w:bCs/>
          <w:sz w:val="20"/>
        </w:rPr>
        <w:t>Montes Auvernia 310</w:t>
      </w:r>
    </w:p>
    <w:p w:rsidR="00151B14" w:rsidRPr="00151B14" w:rsidRDefault="00151B14" w:rsidP="00151B14">
      <w:pPr>
        <w:jc w:val="both"/>
        <w:rPr>
          <w:rFonts w:ascii="Verdana" w:hAnsi="Verdana"/>
          <w:bCs/>
          <w:sz w:val="20"/>
        </w:rPr>
      </w:pPr>
      <w:r w:rsidRPr="00151B14">
        <w:rPr>
          <w:rFonts w:ascii="Verdana" w:hAnsi="Verdana"/>
          <w:bCs/>
          <w:sz w:val="20"/>
        </w:rPr>
        <w:lastRenderedPageBreak/>
        <w:t>Col. Lomas de Chapultepec</w:t>
      </w:r>
    </w:p>
    <w:p w:rsidR="00151B14" w:rsidRPr="00151B14" w:rsidRDefault="00151B14" w:rsidP="00151B14">
      <w:pPr>
        <w:jc w:val="both"/>
        <w:rPr>
          <w:rFonts w:ascii="Verdana" w:hAnsi="Verdana"/>
          <w:bCs/>
          <w:sz w:val="20"/>
        </w:rPr>
      </w:pPr>
      <w:r w:rsidRPr="00151B14">
        <w:rPr>
          <w:rFonts w:ascii="Verdana" w:hAnsi="Verdana"/>
          <w:bCs/>
          <w:sz w:val="20"/>
        </w:rPr>
        <w:t>C.P. 11000, Ciudad de México</w:t>
      </w:r>
    </w:p>
    <w:p w:rsidR="00151B14" w:rsidRPr="00151B14" w:rsidRDefault="00151B14" w:rsidP="00151B14">
      <w:pPr>
        <w:jc w:val="both"/>
        <w:rPr>
          <w:rFonts w:ascii="Verdana" w:hAnsi="Verdana"/>
          <w:bCs/>
          <w:sz w:val="20"/>
        </w:rPr>
      </w:pPr>
      <w:r w:rsidRPr="00151B14">
        <w:rPr>
          <w:rFonts w:ascii="Verdana" w:hAnsi="Verdana"/>
          <w:b/>
          <w:bCs/>
          <w:sz w:val="20"/>
        </w:rPr>
        <w:t>G. Requerimiento de información</w:t>
      </w:r>
    </w:p>
    <w:p w:rsidR="00151B14" w:rsidRPr="00151B14" w:rsidRDefault="00151B14" w:rsidP="00151B14">
      <w:pPr>
        <w:jc w:val="both"/>
        <w:rPr>
          <w:rFonts w:ascii="Verdana" w:hAnsi="Verdana"/>
          <w:bCs/>
          <w:sz w:val="20"/>
        </w:rPr>
      </w:pPr>
      <w:r w:rsidRPr="00151B14">
        <w:rPr>
          <w:rFonts w:ascii="Verdana" w:hAnsi="Verdana"/>
          <w:b/>
          <w:bCs/>
          <w:sz w:val="20"/>
        </w:rPr>
        <w:t>21.</w:t>
      </w:r>
      <w:r w:rsidRPr="00151B14">
        <w:rPr>
          <w:rFonts w:ascii="Verdana" w:hAnsi="Verdana"/>
          <w:bCs/>
          <w:sz w:val="20"/>
        </w:rPr>
        <w:t> Mediante oficio UPCI.416.19.1332 del 24 de mayo de 2019, la Secretaría requirió a AHMSA para que acreditara su carácter de productora nacional de lámina rolada en frío. En respuesta al requerimiento, el 29 de mayo de 2019 se presentó una carta de la CANACERO del 28 de mayo de 2019 que así lo acredita.</w:t>
      </w:r>
    </w:p>
    <w:p w:rsidR="00151B14" w:rsidRPr="00151B14" w:rsidRDefault="00151B14" w:rsidP="00151B14">
      <w:pPr>
        <w:jc w:val="both"/>
        <w:rPr>
          <w:rFonts w:ascii="Verdana" w:hAnsi="Verdana"/>
          <w:b/>
          <w:bCs/>
          <w:sz w:val="20"/>
        </w:rPr>
      </w:pPr>
      <w:r w:rsidRPr="00151B14">
        <w:rPr>
          <w:rFonts w:ascii="Verdana" w:hAnsi="Verdana"/>
          <w:b/>
          <w:bCs/>
          <w:sz w:val="20"/>
        </w:rPr>
        <w:t>CONSIDERANDOS</w:t>
      </w:r>
    </w:p>
    <w:p w:rsidR="00151B14" w:rsidRPr="00151B14" w:rsidRDefault="00151B14" w:rsidP="00151B14">
      <w:pPr>
        <w:jc w:val="both"/>
        <w:rPr>
          <w:rFonts w:ascii="Verdana" w:hAnsi="Verdana"/>
          <w:bCs/>
          <w:sz w:val="20"/>
        </w:rPr>
      </w:pPr>
      <w:r w:rsidRPr="00151B14">
        <w:rPr>
          <w:rFonts w:ascii="Verdana" w:hAnsi="Verdana"/>
          <w:b/>
          <w:bCs/>
          <w:sz w:val="20"/>
        </w:rPr>
        <w:t>A. Competencia</w:t>
      </w:r>
    </w:p>
    <w:p w:rsidR="00151B14" w:rsidRPr="00151B14" w:rsidRDefault="00151B14" w:rsidP="00151B14">
      <w:pPr>
        <w:jc w:val="both"/>
        <w:rPr>
          <w:rFonts w:ascii="Verdana" w:hAnsi="Verdana"/>
          <w:bCs/>
          <w:sz w:val="20"/>
        </w:rPr>
      </w:pPr>
      <w:r w:rsidRPr="00151B14">
        <w:rPr>
          <w:rFonts w:ascii="Verdana" w:hAnsi="Verdana"/>
          <w:b/>
          <w:bCs/>
          <w:sz w:val="20"/>
        </w:rPr>
        <w:t>22.</w:t>
      </w:r>
      <w:r w:rsidRPr="00151B14">
        <w:rPr>
          <w:rFonts w:ascii="Verdana" w:hAnsi="Verdana"/>
          <w:bCs/>
          <w:sz w:val="20"/>
        </w:rPr>
        <w:t>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151B14" w:rsidRPr="00151B14" w:rsidRDefault="00151B14" w:rsidP="00151B14">
      <w:pPr>
        <w:jc w:val="both"/>
        <w:rPr>
          <w:rFonts w:ascii="Verdana" w:hAnsi="Verdana"/>
          <w:bCs/>
          <w:sz w:val="20"/>
        </w:rPr>
      </w:pPr>
      <w:r w:rsidRPr="00151B14">
        <w:rPr>
          <w:rFonts w:ascii="Verdana" w:hAnsi="Verdana"/>
          <w:bCs/>
          <w:sz w:val="20"/>
        </w:rPr>
        <w:t> </w:t>
      </w:r>
    </w:p>
    <w:p w:rsidR="00151B14" w:rsidRPr="00151B14" w:rsidRDefault="00151B14" w:rsidP="00151B14">
      <w:pPr>
        <w:jc w:val="both"/>
        <w:rPr>
          <w:rFonts w:ascii="Verdana" w:hAnsi="Verdana"/>
          <w:bCs/>
          <w:sz w:val="20"/>
        </w:rPr>
      </w:pPr>
      <w:r w:rsidRPr="00151B14">
        <w:rPr>
          <w:rFonts w:ascii="Verdana" w:hAnsi="Verdana"/>
          <w:b/>
          <w:bCs/>
          <w:sz w:val="20"/>
        </w:rPr>
        <w:t>B. Legislación aplicable</w:t>
      </w:r>
    </w:p>
    <w:p w:rsidR="00151B14" w:rsidRPr="00151B14" w:rsidRDefault="00151B14" w:rsidP="00151B14">
      <w:pPr>
        <w:jc w:val="both"/>
        <w:rPr>
          <w:rFonts w:ascii="Verdana" w:hAnsi="Verdana"/>
          <w:bCs/>
          <w:sz w:val="20"/>
        </w:rPr>
      </w:pPr>
      <w:r w:rsidRPr="00151B14">
        <w:rPr>
          <w:rFonts w:ascii="Verdana" w:hAnsi="Verdana"/>
          <w:b/>
          <w:bCs/>
          <w:sz w:val="20"/>
        </w:rPr>
        <w:t>23.</w:t>
      </w:r>
      <w:r w:rsidRPr="00151B14">
        <w:rPr>
          <w:rFonts w:ascii="Verdana" w:hAnsi="Verdana"/>
          <w:bCs/>
          <w:sz w:val="20"/>
        </w:rPr>
        <w:t>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151B14" w:rsidRPr="00151B14" w:rsidRDefault="00151B14" w:rsidP="00151B14">
      <w:pPr>
        <w:jc w:val="both"/>
        <w:rPr>
          <w:rFonts w:ascii="Verdana" w:hAnsi="Verdana"/>
          <w:bCs/>
          <w:sz w:val="20"/>
        </w:rPr>
      </w:pPr>
      <w:r w:rsidRPr="00151B14">
        <w:rPr>
          <w:rFonts w:ascii="Verdana" w:hAnsi="Verdana"/>
          <w:b/>
          <w:bCs/>
          <w:sz w:val="20"/>
        </w:rPr>
        <w:t>C. Protección de la información confidencial</w:t>
      </w:r>
    </w:p>
    <w:p w:rsidR="00151B14" w:rsidRPr="00151B14" w:rsidRDefault="00151B14" w:rsidP="00151B14">
      <w:pPr>
        <w:jc w:val="both"/>
        <w:rPr>
          <w:rFonts w:ascii="Verdana" w:hAnsi="Verdana"/>
          <w:bCs/>
          <w:sz w:val="20"/>
        </w:rPr>
      </w:pPr>
      <w:r w:rsidRPr="00151B14">
        <w:rPr>
          <w:rFonts w:ascii="Verdana" w:hAnsi="Verdana"/>
          <w:b/>
          <w:bCs/>
          <w:sz w:val="20"/>
        </w:rPr>
        <w:t>24.</w:t>
      </w:r>
      <w:r w:rsidRPr="00151B14">
        <w:rPr>
          <w:rFonts w:ascii="Verdana" w:hAnsi="Verdana"/>
          <w:bCs/>
          <w:sz w:val="20"/>
        </w:rPr>
        <w:t>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151B14" w:rsidRPr="00151B14" w:rsidRDefault="00151B14" w:rsidP="00151B14">
      <w:pPr>
        <w:jc w:val="both"/>
        <w:rPr>
          <w:rFonts w:ascii="Verdana" w:hAnsi="Verdana"/>
          <w:bCs/>
          <w:sz w:val="20"/>
        </w:rPr>
      </w:pPr>
      <w:r w:rsidRPr="00151B14">
        <w:rPr>
          <w:rFonts w:ascii="Verdana" w:hAnsi="Verdana"/>
          <w:b/>
          <w:bCs/>
          <w:sz w:val="20"/>
        </w:rPr>
        <w:t>D. Legitimación para el inicio del examen de vigencia de cuota</w:t>
      </w:r>
    </w:p>
    <w:p w:rsidR="00151B14" w:rsidRPr="00151B14" w:rsidRDefault="00151B14" w:rsidP="00151B14">
      <w:pPr>
        <w:jc w:val="both"/>
        <w:rPr>
          <w:rFonts w:ascii="Verdana" w:hAnsi="Verdana"/>
          <w:bCs/>
          <w:sz w:val="20"/>
        </w:rPr>
      </w:pPr>
      <w:r w:rsidRPr="00151B14">
        <w:rPr>
          <w:rFonts w:ascii="Verdana" w:hAnsi="Verdana"/>
          <w:b/>
          <w:bCs/>
          <w:sz w:val="20"/>
        </w:rPr>
        <w:t>25.</w:t>
      </w:r>
      <w:r w:rsidRPr="00151B14">
        <w:rPr>
          <w:rFonts w:ascii="Verdana" w:hAnsi="Verdana"/>
          <w:bCs/>
          <w:sz w:val="20"/>
        </w:rPr>
        <w:t>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151B14" w:rsidRPr="00151B14" w:rsidRDefault="00151B14" w:rsidP="00151B14">
      <w:pPr>
        <w:jc w:val="both"/>
        <w:rPr>
          <w:rFonts w:ascii="Verdana" w:hAnsi="Verdana"/>
          <w:bCs/>
          <w:sz w:val="20"/>
        </w:rPr>
      </w:pPr>
      <w:r w:rsidRPr="00151B14">
        <w:rPr>
          <w:rFonts w:ascii="Verdana" w:hAnsi="Verdana"/>
          <w:b/>
          <w:bCs/>
          <w:sz w:val="20"/>
        </w:rPr>
        <w:lastRenderedPageBreak/>
        <w:t>26.</w:t>
      </w:r>
      <w:r w:rsidRPr="00151B14">
        <w:rPr>
          <w:rFonts w:ascii="Verdana" w:hAnsi="Verdana"/>
          <w:bCs/>
          <w:sz w:val="20"/>
        </w:rPr>
        <w:t xml:space="preserve"> En el presente caso, </w:t>
      </w:r>
      <w:proofErr w:type="spellStart"/>
      <w:r w:rsidRPr="00151B14">
        <w:rPr>
          <w:rFonts w:ascii="Verdana" w:hAnsi="Verdana"/>
          <w:bCs/>
          <w:sz w:val="20"/>
        </w:rPr>
        <w:t>Ternium</w:t>
      </w:r>
      <w:proofErr w:type="spellEnd"/>
      <w:r w:rsidRPr="00151B14">
        <w:rPr>
          <w:rFonts w:ascii="Verdana" w:hAnsi="Verdana"/>
          <w:bCs/>
          <w:sz w:val="20"/>
        </w:rPr>
        <w:t xml:space="preserve"> y AHMSA en su calidad de productores nacionales del producto objeto de examen, manifestaron en tiempo y forma su interés en que se inicie el examen de vigencia de las cuotas compensatorias definitivas impuestas a las importaciones de lámina rolada en frío originarias de Rusia y Kazajstán, por lo que se actualizan los supuestos previstos en la legislación de la materia y, en consecuencia, procede iniciarlo.</w:t>
      </w:r>
    </w:p>
    <w:p w:rsidR="00151B14" w:rsidRPr="00151B14" w:rsidRDefault="00151B14" w:rsidP="00151B14">
      <w:pPr>
        <w:jc w:val="both"/>
        <w:rPr>
          <w:rFonts w:ascii="Verdana" w:hAnsi="Verdana"/>
          <w:bCs/>
          <w:sz w:val="20"/>
        </w:rPr>
      </w:pPr>
      <w:r w:rsidRPr="00151B14">
        <w:rPr>
          <w:rFonts w:ascii="Verdana" w:hAnsi="Verdana"/>
          <w:b/>
          <w:bCs/>
          <w:sz w:val="20"/>
        </w:rPr>
        <w:t>E. Periodo de examen y de análisis</w:t>
      </w:r>
    </w:p>
    <w:p w:rsidR="00151B14" w:rsidRPr="00151B14" w:rsidRDefault="00151B14" w:rsidP="00151B14">
      <w:pPr>
        <w:jc w:val="both"/>
        <w:rPr>
          <w:rFonts w:ascii="Verdana" w:hAnsi="Verdana"/>
          <w:bCs/>
          <w:sz w:val="20"/>
        </w:rPr>
      </w:pPr>
      <w:r w:rsidRPr="00151B14">
        <w:rPr>
          <w:rFonts w:ascii="Verdana" w:hAnsi="Verdana"/>
          <w:b/>
          <w:bCs/>
          <w:sz w:val="20"/>
        </w:rPr>
        <w:t>27. </w:t>
      </w:r>
      <w:proofErr w:type="spellStart"/>
      <w:r w:rsidRPr="00151B14">
        <w:rPr>
          <w:rFonts w:ascii="Verdana" w:hAnsi="Verdana"/>
          <w:bCs/>
          <w:sz w:val="20"/>
        </w:rPr>
        <w:t>Ternium</w:t>
      </w:r>
      <w:proofErr w:type="spellEnd"/>
      <w:r w:rsidRPr="00151B14">
        <w:rPr>
          <w:rFonts w:ascii="Verdana" w:hAnsi="Verdana"/>
          <w:bCs/>
          <w:sz w:val="20"/>
        </w:rPr>
        <w:t xml:space="preserve"> propuso como periodo de examen el comprendido de abril de 2018 a marzo de 2019, en tanto que AHMSA propuso el comprendido de enero a diciembre de 2018. Al respecto, la Secretaría determina fijar como periodo de examen el comprendido del 1 de abril de 2018 al 31 de marzo de 2019 y como periodo de análisis el comprendido del 1 de abril de 2014 al 31 de marzo de 2019, toda vez que éstos se apegan a lo previsto en el artículo 76 del RLCE y a la recomendación del Comité de Prácticas Antidumping de la Organización Mundial del Comercio (documento G/ADP/6 adoptado el 5 de mayo de 2000).</w:t>
      </w:r>
    </w:p>
    <w:p w:rsidR="00151B14" w:rsidRPr="00151B14" w:rsidRDefault="00151B14" w:rsidP="00151B14">
      <w:pPr>
        <w:jc w:val="both"/>
        <w:rPr>
          <w:rFonts w:ascii="Verdana" w:hAnsi="Verdana"/>
          <w:bCs/>
          <w:sz w:val="20"/>
        </w:rPr>
      </w:pPr>
      <w:r w:rsidRPr="00151B14">
        <w:rPr>
          <w:rFonts w:ascii="Verdana" w:hAnsi="Verdana"/>
          <w:b/>
          <w:bCs/>
          <w:sz w:val="20"/>
        </w:rPr>
        <w:t>28.</w:t>
      </w:r>
      <w:r w:rsidRPr="00151B14">
        <w:rPr>
          <w:rFonts w:ascii="Verdana" w:hAnsi="Verdana"/>
          <w:bCs/>
          <w:sz w:val="20"/>
        </w:rPr>
        <w:t> Por lo expuesto, con fundamento en los artículos 11.1 y 11.3 del Acuerdo Antidumping, y 67, 70 </w:t>
      </w:r>
      <w:proofErr w:type="gramStart"/>
      <w:r w:rsidRPr="00151B14">
        <w:rPr>
          <w:rFonts w:ascii="Verdana" w:hAnsi="Verdana"/>
          <w:bCs/>
          <w:sz w:val="20"/>
        </w:rPr>
        <w:t>fracción</w:t>
      </w:r>
      <w:proofErr w:type="gramEnd"/>
      <w:r w:rsidRPr="00151B14">
        <w:rPr>
          <w:rFonts w:ascii="Verdana" w:hAnsi="Verdana"/>
          <w:bCs/>
          <w:sz w:val="20"/>
        </w:rPr>
        <w:t xml:space="preserve"> II, 70 B y 89 F de la LCE, se emite la siguiente</w:t>
      </w:r>
    </w:p>
    <w:p w:rsidR="00151B14" w:rsidRPr="00151B14" w:rsidRDefault="00151B14" w:rsidP="00151B14">
      <w:pPr>
        <w:jc w:val="both"/>
        <w:rPr>
          <w:rFonts w:ascii="Verdana" w:hAnsi="Verdana"/>
          <w:b/>
          <w:bCs/>
          <w:sz w:val="20"/>
        </w:rPr>
      </w:pPr>
      <w:r w:rsidRPr="00151B14">
        <w:rPr>
          <w:rFonts w:ascii="Verdana" w:hAnsi="Verdana"/>
          <w:b/>
          <w:bCs/>
          <w:sz w:val="20"/>
        </w:rPr>
        <w:t>RESOLUCIÓN</w:t>
      </w:r>
    </w:p>
    <w:p w:rsidR="00151B14" w:rsidRPr="00151B14" w:rsidRDefault="00151B14" w:rsidP="00151B14">
      <w:pPr>
        <w:jc w:val="both"/>
        <w:rPr>
          <w:rFonts w:ascii="Verdana" w:hAnsi="Verdana"/>
          <w:bCs/>
          <w:sz w:val="20"/>
        </w:rPr>
      </w:pPr>
      <w:r w:rsidRPr="00151B14">
        <w:rPr>
          <w:rFonts w:ascii="Verdana" w:hAnsi="Verdana"/>
          <w:b/>
          <w:bCs/>
          <w:sz w:val="20"/>
        </w:rPr>
        <w:t>29.</w:t>
      </w:r>
      <w:r w:rsidRPr="00151B14">
        <w:rPr>
          <w:rFonts w:ascii="Verdana" w:hAnsi="Verdana"/>
          <w:bCs/>
          <w:sz w:val="20"/>
        </w:rPr>
        <w:t> Se declara el inicio del examen de vigencia de las cuotas compensatorias definitivas impuestas a las importaciones de lámina rolada en frío originarias de Rusia y Kazajstán, independientemente del país de procedencia, que ingresan a través de las fracciones arancelarias 7209.16.01 y 7209.17.01 de la TIGIE, o por cualquier otra.</w:t>
      </w:r>
    </w:p>
    <w:p w:rsidR="00151B14" w:rsidRPr="00151B14" w:rsidRDefault="00151B14" w:rsidP="00151B14">
      <w:pPr>
        <w:jc w:val="both"/>
        <w:rPr>
          <w:rFonts w:ascii="Verdana" w:hAnsi="Verdana"/>
          <w:bCs/>
          <w:sz w:val="20"/>
        </w:rPr>
      </w:pPr>
      <w:r w:rsidRPr="00151B14">
        <w:rPr>
          <w:rFonts w:ascii="Verdana" w:hAnsi="Verdana"/>
          <w:b/>
          <w:bCs/>
          <w:sz w:val="20"/>
        </w:rPr>
        <w:t>30.</w:t>
      </w:r>
      <w:r w:rsidRPr="00151B14">
        <w:rPr>
          <w:rFonts w:ascii="Verdana" w:hAnsi="Verdana"/>
          <w:bCs/>
          <w:sz w:val="20"/>
        </w:rPr>
        <w:t> Se fija como periodo de examen el comprendido del 1 de abril de 2018 al 31 de marzo de 2019 y como periodo de análisis el comprendido del 1 de abril de 2014 al 31 de marzo de 2019.</w:t>
      </w:r>
    </w:p>
    <w:p w:rsidR="00151B14" w:rsidRPr="00151B14" w:rsidRDefault="00151B14" w:rsidP="00151B14">
      <w:pPr>
        <w:jc w:val="both"/>
        <w:rPr>
          <w:rFonts w:ascii="Verdana" w:hAnsi="Verdana"/>
          <w:bCs/>
          <w:sz w:val="20"/>
        </w:rPr>
      </w:pPr>
      <w:r w:rsidRPr="00151B14">
        <w:rPr>
          <w:rFonts w:ascii="Verdana" w:hAnsi="Verdana"/>
          <w:b/>
          <w:bCs/>
          <w:sz w:val="20"/>
        </w:rPr>
        <w:t>31.</w:t>
      </w:r>
      <w:r w:rsidRPr="00151B14">
        <w:rPr>
          <w:rFonts w:ascii="Verdana" w:hAnsi="Verdana"/>
          <w:bCs/>
          <w:sz w:val="20"/>
        </w:rPr>
        <w:t> Conforme a lo establecido en los artículos 11.3 del Acuerdo Antidumping, 70 fracción II y 89 F de la LCE, y 94 del RLCE, las cuotas compensatorias definitivas a que se refiere el punto 3 de la presente Resolución, continuarán vigentes mientras se tramita el presente procedimiento de examen de vigencia.</w:t>
      </w:r>
    </w:p>
    <w:p w:rsidR="00151B14" w:rsidRPr="00151B14" w:rsidRDefault="00151B14" w:rsidP="00151B14">
      <w:pPr>
        <w:jc w:val="both"/>
        <w:rPr>
          <w:rFonts w:ascii="Verdana" w:hAnsi="Verdana"/>
          <w:bCs/>
          <w:sz w:val="20"/>
        </w:rPr>
      </w:pPr>
      <w:r w:rsidRPr="00151B14">
        <w:rPr>
          <w:rFonts w:ascii="Verdana" w:hAnsi="Verdana"/>
          <w:b/>
          <w:bCs/>
          <w:sz w:val="20"/>
        </w:rPr>
        <w:t>32.</w:t>
      </w:r>
      <w:r w:rsidRPr="00151B14">
        <w:rPr>
          <w:rFonts w:ascii="Verdana" w:hAnsi="Verdana"/>
          <w:bCs/>
          <w:sz w:val="20"/>
        </w:rPr>
        <w:t>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oficial establecido para tal efecto, así como los argumentos y las pruebas que consideren convenientes. El plazo de 28 días hábiles se contará a partir del día siguiente de la publicación en el DOF de la presente Resolución y concluirá a las 14:00 horas del día de su vencimiento.</w:t>
      </w:r>
    </w:p>
    <w:p w:rsidR="00151B14" w:rsidRPr="00151B14" w:rsidRDefault="00151B14" w:rsidP="00151B14">
      <w:pPr>
        <w:jc w:val="both"/>
        <w:rPr>
          <w:rFonts w:ascii="Verdana" w:hAnsi="Verdana"/>
          <w:bCs/>
          <w:sz w:val="20"/>
        </w:rPr>
      </w:pPr>
      <w:r w:rsidRPr="00151B14">
        <w:rPr>
          <w:rFonts w:ascii="Verdana" w:hAnsi="Verdana"/>
          <w:b/>
          <w:bCs/>
          <w:sz w:val="20"/>
        </w:rPr>
        <w:t>33.</w:t>
      </w:r>
      <w:r w:rsidRPr="00151B14">
        <w:rPr>
          <w:rFonts w:ascii="Verdana" w:hAnsi="Verdana"/>
          <w:bCs/>
          <w:sz w:val="20"/>
        </w:rPr>
        <w:t xml:space="preserve"> El formulario oficial a que se refiere el punto anterior, se podrá obtener en la oficialía de partes de la UPCI, sita en Insurgentes Sur 1940, planta baja, Col. Florida, </w:t>
      </w:r>
      <w:r w:rsidRPr="00151B14">
        <w:rPr>
          <w:rFonts w:ascii="Verdana" w:hAnsi="Verdana"/>
          <w:bCs/>
          <w:sz w:val="20"/>
        </w:rPr>
        <w:lastRenderedPageBreak/>
        <w:t>C.P. 01030, en la Ciudad de México, de lunes a viernes de 9:00 a 14:00 horas o en la página de Internet de la Secretaría.</w:t>
      </w:r>
    </w:p>
    <w:p w:rsidR="00151B14" w:rsidRPr="00151B14" w:rsidRDefault="00151B14" w:rsidP="00151B14">
      <w:pPr>
        <w:jc w:val="both"/>
        <w:rPr>
          <w:rFonts w:ascii="Verdana" w:hAnsi="Verdana"/>
          <w:bCs/>
          <w:sz w:val="20"/>
        </w:rPr>
      </w:pPr>
      <w:r w:rsidRPr="00151B14">
        <w:rPr>
          <w:rFonts w:ascii="Verdana" w:hAnsi="Verdana"/>
          <w:b/>
          <w:bCs/>
          <w:sz w:val="20"/>
        </w:rPr>
        <w:t>34.</w:t>
      </w:r>
      <w:r w:rsidRPr="00151B14">
        <w:rPr>
          <w:rFonts w:ascii="Verdana" w:hAnsi="Verdana"/>
          <w:bCs/>
          <w:sz w:val="20"/>
        </w:rPr>
        <w:t> Notifíquese la presente Resolución a las partes de que se tenga conocimiento.</w:t>
      </w:r>
    </w:p>
    <w:p w:rsidR="00151B14" w:rsidRPr="00151B14" w:rsidRDefault="00151B14" w:rsidP="00151B14">
      <w:pPr>
        <w:jc w:val="both"/>
        <w:rPr>
          <w:rFonts w:ascii="Verdana" w:hAnsi="Verdana"/>
          <w:bCs/>
          <w:sz w:val="20"/>
        </w:rPr>
      </w:pPr>
      <w:r w:rsidRPr="00151B14">
        <w:rPr>
          <w:rFonts w:ascii="Verdana" w:hAnsi="Verdana"/>
          <w:b/>
          <w:bCs/>
          <w:sz w:val="20"/>
        </w:rPr>
        <w:t>35.</w:t>
      </w:r>
      <w:r w:rsidRPr="00151B14">
        <w:rPr>
          <w:rFonts w:ascii="Verdana" w:hAnsi="Verdana"/>
          <w:bCs/>
          <w:sz w:val="20"/>
        </w:rPr>
        <w:t> Comuníquese esta Resolución al Servicio de Administración Tributaria, para los efectos legales correspondientes.</w:t>
      </w:r>
    </w:p>
    <w:p w:rsidR="00151B14" w:rsidRPr="00151B14" w:rsidRDefault="00151B14" w:rsidP="00151B14">
      <w:pPr>
        <w:jc w:val="both"/>
        <w:rPr>
          <w:rFonts w:ascii="Verdana" w:hAnsi="Verdana"/>
          <w:bCs/>
          <w:sz w:val="20"/>
        </w:rPr>
      </w:pPr>
      <w:r w:rsidRPr="00151B14">
        <w:rPr>
          <w:rFonts w:ascii="Verdana" w:hAnsi="Verdana"/>
          <w:b/>
          <w:bCs/>
          <w:sz w:val="20"/>
        </w:rPr>
        <w:t>36.</w:t>
      </w:r>
      <w:r w:rsidRPr="00151B14">
        <w:rPr>
          <w:rFonts w:ascii="Verdana" w:hAnsi="Verdana"/>
          <w:bCs/>
          <w:sz w:val="20"/>
        </w:rPr>
        <w:t> La presente Resolución entrará en vigor al día siguiente de su publicación en el DOF.</w:t>
      </w:r>
    </w:p>
    <w:p w:rsidR="00151B14" w:rsidRPr="00151B14" w:rsidRDefault="00151B14" w:rsidP="00151B14">
      <w:pPr>
        <w:jc w:val="both"/>
        <w:rPr>
          <w:rFonts w:ascii="Verdana" w:hAnsi="Verdana"/>
          <w:bCs/>
          <w:sz w:val="20"/>
        </w:rPr>
      </w:pPr>
      <w:r w:rsidRPr="00151B14">
        <w:rPr>
          <w:rFonts w:ascii="Verdana" w:hAnsi="Verdana"/>
          <w:bCs/>
          <w:sz w:val="20"/>
        </w:rPr>
        <w:t> </w:t>
      </w:r>
    </w:p>
    <w:p w:rsidR="00151B14" w:rsidRPr="00151B14" w:rsidRDefault="00151B14" w:rsidP="00151B14">
      <w:pPr>
        <w:jc w:val="both"/>
        <w:rPr>
          <w:rFonts w:ascii="Verdana" w:hAnsi="Verdana"/>
          <w:bCs/>
          <w:sz w:val="20"/>
        </w:rPr>
      </w:pPr>
      <w:r w:rsidRPr="00151B14">
        <w:rPr>
          <w:rFonts w:ascii="Verdana" w:hAnsi="Verdana"/>
          <w:bCs/>
          <w:sz w:val="20"/>
        </w:rPr>
        <w:t>Ciudad de México, a 11 de junio de 2019.- La Secretaria de Economía, </w:t>
      </w:r>
      <w:r w:rsidRPr="00151B14">
        <w:rPr>
          <w:rFonts w:ascii="Verdana" w:hAnsi="Verdana"/>
          <w:b/>
          <w:bCs/>
          <w:sz w:val="20"/>
        </w:rPr>
        <w:t>Graciela Márquez Colín</w:t>
      </w:r>
      <w:r w:rsidRPr="00151B14">
        <w:rPr>
          <w:rFonts w:ascii="Verdana" w:hAnsi="Verdana"/>
          <w:bCs/>
          <w:sz w:val="20"/>
        </w:rPr>
        <w:t>.- Rúbrica.</w:t>
      </w:r>
    </w:p>
    <w:p w:rsidR="00151B14" w:rsidRPr="00151B14" w:rsidRDefault="00151B14" w:rsidP="00151B14">
      <w:pPr>
        <w:jc w:val="both"/>
        <w:rPr>
          <w:rFonts w:ascii="Verdana" w:hAnsi="Verdana"/>
          <w:bCs/>
          <w:sz w:val="20"/>
        </w:rPr>
      </w:pPr>
      <w:bookmarkStart w:id="0" w:name="_GoBack"/>
      <w:bookmarkEnd w:id="0"/>
    </w:p>
    <w:p w:rsidR="00BF3AEB" w:rsidRDefault="00151B1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14"/>
    <w:rsid w:val="00151B14"/>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5002">
      <w:bodyDiv w:val="1"/>
      <w:marLeft w:val="0"/>
      <w:marRight w:val="0"/>
      <w:marTop w:val="0"/>
      <w:marBottom w:val="0"/>
      <w:divBdr>
        <w:top w:val="none" w:sz="0" w:space="0" w:color="auto"/>
        <w:left w:val="none" w:sz="0" w:space="0" w:color="auto"/>
        <w:bottom w:val="none" w:sz="0" w:space="0" w:color="auto"/>
        <w:right w:val="none" w:sz="0" w:space="0" w:color="auto"/>
      </w:divBdr>
    </w:div>
    <w:div w:id="171267045">
      <w:bodyDiv w:val="1"/>
      <w:marLeft w:val="0"/>
      <w:marRight w:val="0"/>
      <w:marTop w:val="0"/>
      <w:marBottom w:val="0"/>
      <w:divBdr>
        <w:top w:val="none" w:sz="0" w:space="0" w:color="auto"/>
        <w:left w:val="none" w:sz="0" w:space="0" w:color="auto"/>
        <w:bottom w:val="none" w:sz="0" w:space="0" w:color="auto"/>
        <w:right w:val="none" w:sz="0" w:space="0" w:color="auto"/>
      </w:divBdr>
      <w:divsChild>
        <w:div w:id="663705827">
          <w:marLeft w:val="0"/>
          <w:marRight w:val="0"/>
          <w:marTop w:val="0"/>
          <w:marBottom w:val="90"/>
          <w:divBdr>
            <w:top w:val="none" w:sz="0" w:space="0" w:color="auto"/>
            <w:left w:val="none" w:sz="0" w:space="0" w:color="auto"/>
            <w:bottom w:val="none" w:sz="0" w:space="0" w:color="auto"/>
            <w:right w:val="none" w:sz="0" w:space="0" w:color="auto"/>
          </w:divBdr>
        </w:div>
        <w:div w:id="576208636">
          <w:marLeft w:val="0"/>
          <w:marRight w:val="0"/>
          <w:marTop w:val="0"/>
          <w:marBottom w:val="90"/>
          <w:divBdr>
            <w:top w:val="none" w:sz="0" w:space="0" w:color="auto"/>
            <w:left w:val="none" w:sz="0" w:space="0" w:color="auto"/>
            <w:bottom w:val="none" w:sz="0" w:space="0" w:color="auto"/>
            <w:right w:val="none" w:sz="0" w:space="0" w:color="auto"/>
          </w:divBdr>
        </w:div>
        <w:div w:id="1839345725">
          <w:marLeft w:val="0"/>
          <w:marRight w:val="0"/>
          <w:marTop w:val="101"/>
          <w:marBottom w:val="90"/>
          <w:divBdr>
            <w:top w:val="none" w:sz="0" w:space="0" w:color="auto"/>
            <w:left w:val="none" w:sz="0" w:space="0" w:color="auto"/>
            <w:bottom w:val="none" w:sz="0" w:space="0" w:color="auto"/>
            <w:right w:val="none" w:sz="0" w:space="0" w:color="auto"/>
          </w:divBdr>
        </w:div>
        <w:div w:id="783110641">
          <w:marLeft w:val="0"/>
          <w:marRight w:val="0"/>
          <w:marTop w:val="0"/>
          <w:marBottom w:val="90"/>
          <w:divBdr>
            <w:top w:val="none" w:sz="0" w:space="0" w:color="auto"/>
            <w:left w:val="none" w:sz="0" w:space="0" w:color="auto"/>
            <w:bottom w:val="none" w:sz="0" w:space="0" w:color="auto"/>
            <w:right w:val="none" w:sz="0" w:space="0" w:color="auto"/>
          </w:divBdr>
        </w:div>
        <w:div w:id="420100138">
          <w:marLeft w:val="0"/>
          <w:marRight w:val="0"/>
          <w:marTop w:val="0"/>
          <w:marBottom w:val="90"/>
          <w:divBdr>
            <w:top w:val="none" w:sz="0" w:space="0" w:color="auto"/>
            <w:left w:val="none" w:sz="0" w:space="0" w:color="auto"/>
            <w:bottom w:val="none" w:sz="0" w:space="0" w:color="auto"/>
            <w:right w:val="none" w:sz="0" w:space="0" w:color="auto"/>
          </w:divBdr>
        </w:div>
        <w:div w:id="1226987925">
          <w:marLeft w:val="720"/>
          <w:marRight w:val="0"/>
          <w:marTop w:val="0"/>
          <w:marBottom w:val="90"/>
          <w:divBdr>
            <w:top w:val="none" w:sz="0" w:space="0" w:color="auto"/>
            <w:left w:val="none" w:sz="0" w:space="0" w:color="auto"/>
            <w:bottom w:val="none" w:sz="0" w:space="0" w:color="auto"/>
            <w:right w:val="none" w:sz="0" w:space="0" w:color="auto"/>
          </w:divBdr>
        </w:div>
        <w:div w:id="1392921927">
          <w:marLeft w:val="1080"/>
          <w:marRight w:val="0"/>
          <w:marTop w:val="0"/>
          <w:marBottom w:val="90"/>
          <w:divBdr>
            <w:top w:val="none" w:sz="0" w:space="0" w:color="auto"/>
            <w:left w:val="none" w:sz="0" w:space="0" w:color="auto"/>
            <w:bottom w:val="none" w:sz="0" w:space="0" w:color="auto"/>
            <w:right w:val="none" w:sz="0" w:space="0" w:color="auto"/>
          </w:divBdr>
        </w:div>
        <w:div w:id="881478593">
          <w:marLeft w:val="1080"/>
          <w:marRight w:val="0"/>
          <w:marTop w:val="0"/>
          <w:marBottom w:val="90"/>
          <w:divBdr>
            <w:top w:val="none" w:sz="0" w:space="0" w:color="auto"/>
            <w:left w:val="none" w:sz="0" w:space="0" w:color="auto"/>
            <w:bottom w:val="none" w:sz="0" w:space="0" w:color="auto"/>
            <w:right w:val="none" w:sz="0" w:space="0" w:color="auto"/>
          </w:divBdr>
        </w:div>
        <w:div w:id="1131751773">
          <w:marLeft w:val="720"/>
          <w:marRight w:val="0"/>
          <w:marTop w:val="0"/>
          <w:marBottom w:val="90"/>
          <w:divBdr>
            <w:top w:val="none" w:sz="0" w:space="0" w:color="auto"/>
            <w:left w:val="none" w:sz="0" w:space="0" w:color="auto"/>
            <w:bottom w:val="none" w:sz="0" w:space="0" w:color="auto"/>
            <w:right w:val="none" w:sz="0" w:space="0" w:color="auto"/>
          </w:divBdr>
        </w:div>
        <w:div w:id="1793667630">
          <w:marLeft w:val="720"/>
          <w:marRight w:val="0"/>
          <w:marTop w:val="0"/>
          <w:marBottom w:val="90"/>
          <w:divBdr>
            <w:top w:val="none" w:sz="0" w:space="0" w:color="auto"/>
            <w:left w:val="none" w:sz="0" w:space="0" w:color="auto"/>
            <w:bottom w:val="none" w:sz="0" w:space="0" w:color="auto"/>
            <w:right w:val="none" w:sz="0" w:space="0" w:color="auto"/>
          </w:divBdr>
        </w:div>
        <w:div w:id="817457823">
          <w:marLeft w:val="0"/>
          <w:marRight w:val="0"/>
          <w:marTop w:val="0"/>
          <w:marBottom w:val="90"/>
          <w:divBdr>
            <w:top w:val="none" w:sz="0" w:space="0" w:color="auto"/>
            <w:left w:val="none" w:sz="0" w:space="0" w:color="auto"/>
            <w:bottom w:val="none" w:sz="0" w:space="0" w:color="auto"/>
            <w:right w:val="none" w:sz="0" w:space="0" w:color="auto"/>
          </w:divBdr>
        </w:div>
        <w:div w:id="171993872">
          <w:marLeft w:val="0"/>
          <w:marRight w:val="0"/>
          <w:marTop w:val="0"/>
          <w:marBottom w:val="90"/>
          <w:divBdr>
            <w:top w:val="none" w:sz="0" w:space="0" w:color="auto"/>
            <w:left w:val="none" w:sz="0" w:space="0" w:color="auto"/>
            <w:bottom w:val="none" w:sz="0" w:space="0" w:color="auto"/>
            <w:right w:val="none" w:sz="0" w:space="0" w:color="auto"/>
          </w:divBdr>
        </w:div>
        <w:div w:id="1709522312">
          <w:marLeft w:val="0"/>
          <w:marRight w:val="0"/>
          <w:marTop w:val="0"/>
          <w:marBottom w:val="90"/>
          <w:divBdr>
            <w:top w:val="none" w:sz="0" w:space="0" w:color="auto"/>
            <w:left w:val="none" w:sz="0" w:space="0" w:color="auto"/>
            <w:bottom w:val="none" w:sz="0" w:space="0" w:color="auto"/>
            <w:right w:val="none" w:sz="0" w:space="0" w:color="auto"/>
          </w:divBdr>
        </w:div>
        <w:div w:id="772358973">
          <w:marLeft w:val="720"/>
          <w:marRight w:val="0"/>
          <w:marTop w:val="0"/>
          <w:marBottom w:val="90"/>
          <w:divBdr>
            <w:top w:val="none" w:sz="0" w:space="0" w:color="auto"/>
            <w:left w:val="none" w:sz="0" w:space="0" w:color="auto"/>
            <w:bottom w:val="none" w:sz="0" w:space="0" w:color="auto"/>
            <w:right w:val="none" w:sz="0" w:space="0" w:color="auto"/>
          </w:divBdr>
        </w:div>
        <w:div w:id="585655838">
          <w:marLeft w:val="720"/>
          <w:marRight w:val="0"/>
          <w:marTop w:val="0"/>
          <w:marBottom w:val="90"/>
          <w:divBdr>
            <w:top w:val="none" w:sz="0" w:space="0" w:color="auto"/>
            <w:left w:val="none" w:sz="0" w:space="0" w:color="auto"/>
            <w:bottom w:val="none" w:sz="0" w:space="0" w:color="auto"/>
            <w:right w:val="none" w:sz="0" w:space="0" w:color="auto"/>
          </w:divBdr>
        </w:div>
        <w:div w:id="662589928">
          <w:marLeft w:val="0"/>
          <w:marRight w:val="0"/>
          <w:marTop w:val="0"/>
          <w:marBottom w:val="90"/>
          <w:divBdr>
            <w:top w:val="none" w:sz="0" w:space="0" w:color="auto"/>
            <w:left w:val="none" w:sz="0" w:space="0" w:color="auto"/>
            <w:bottom w:val="none" w:sz="0" w:space="0" w:color="auto"/>
            <w:right w:val="none" w:sz="0" w:space="0" w:color="auto"/>
          </w:divBdr>
        </w:div>
        <w:div w:id="1464687542">
          <w:marLeft w:val="0"/>
          <w:marRight w:val="0"/>
          <w:marTop w:val="0"/>
          <w:marBottom w:val="90"/>
          <w:divBdr>
            <w:top w:val="none" w:sz="0" w:space="0" w:color="auto"/>
            <w:left w:val="none" w:sz="0" w:space="0" w:color="auto"/>
            <w:bottom w:val="none" w:sz="0" w:space="0" w:color="auto"/>
            <w:right w:val="none" w:sz="0" w:space="0" w:color="auto"/>
          </w:divBdr>
        </w:div>
        <w:div w:id="1976636541">
          <w:marLeft w:val="0"/>
          <w:marRight w:val="0"/>
          <w:marTop w:val="0"/>
          <w:marBottom w:val="90"/>
          <w:divBdr>
            <w:top w:val="none" w:sz="0" w:space="0" w:color="auto"/>
            <w:left w:val="none" w:sz="0" w:space="0" w:color="auto"/>
            <w:bottom w:val="none" w:sz="0" w:space="0" w:color="auto"/>
            <w:right w:val="none" w:sz="0" w:space="0" w:color="auto"/>
          </w:divBdr>
        </w:div>
        <w:div w:id="2086802719">
          <w:marLeft w:val="0"/>
          <w:marRight w:val="0"/>
          <w:marTop w:val="0"/>
          <w:marBottom w:val="90"/>
          <w:divBdr>
            <w:top w:val="none" w:sz="0" w:space="0" w:color="auto"/>
            <w:left w:val="none" w:sz="0" w:space="0" w:color="auto"/>
            <w:bottom w:val="none" w:sz="0" w:space="0" w:color="auto"/>
            <w:right w:val="none" w:sz="0" w:space="0" w:color="auto"/>
          </w:divBdr>
        </w:div>
        <w:div w:id="1450009302">
          <w:marLeft w:val="0"/>
          <w:marRight w:val="0"/>
          <w:marTop w:val="0"/>
          <w:marBottom w:val="90"/>
          <w:divBdr>
            <w:top w:val="none" w:sz="0" w:space="0" w:color="auto"/>
            <w:left w:val="none" w:sz="0" w:space="0" w:color="auto"/>
            <w:bottom w:val="none" w:sz="0" w:space="0" w:color="auto"/>
            <w:right w:val="none" w:sz="0" w:space="0" w:color="auto"/>
          </w:divBdr>
        </w:div>
        <w:div w:id="1260914766">
          <w:marLeft w:val="0"/>
          <w:marRight w:val="0"/>
          <w:marTop w:val="0"/>
          <w:marBottom w:val="78"/>
          <w:divBdr>
            <w:top w:val="none" w:sz="0" w:space="0" w:color="auto"/>
            <w:left w:val="none" w:sz="0" w:space="0" w:color="auto"/>
            <w:bottom w:val="none" w:sz="0" w:space="0" w:color="auto"/>
            <w:right w:val="none" w:sz="0" w:space="0" w:color="auto"/>
          </w:divBdr>
        </w:div>
        <w:div w:id="719935089">
          <w:marLeft w:val="0"/>
          <w:marRight w:val="0"/>
          <w:marTop w:val="0"/>
          <w:marBottom w:val="78"/>
          <w:divBdr>
            <w:top w:val="none" w:sz="0" w:space="0" w:color="auto"/>
            <w:left w:val="none" w:sz="0" w:space="0" w:color="auto"/>
            <w:bottom w:val="none" w:sz="0" w:space="0" w:color="auto"/>
            <w:right w:val="none" w:sz="0" w:space="0" w:color="auto"/>
          </w:divBdr>
        </w:div>
        <w:div w:id="1440831897">
          <w:marLeft w:val="0"/>
          <w:marRight w:val="0"/>
          <w:marTop w:val="0"/>
          <w:marBottom w:val="78"/>
          <w:divBdr>
            <w:top w:val="none" w:sz="0" w:space="0" w:color="auto"/>
            <w:left w:val="none" w:sz="0" w:space="0" w:color="auto"/>
            <w:bottom w:val="none" w:sz="0" w:space="0" w:color="auto"/>
            <w:right w:val="none" w:sz="0" w:space="0" w:color="auto"/>
          </w:divBdr>
        </w:div>
        <w:div w:id="1619987801">
          <w:marLeft w:val="0"/>
          <w:marRight w:val="0"/>
          <w:marTop w:val="0"/>
          <w:marBottom w:val="78"/>
          <w:divBdr>
            <w:top w:val="none" w:sz="0" w:space="0" w:color="auto"/>
            <w:left w:val="none" w:sz="0" w:space="0" w:color="auto"/>
            <w:bottom w:val="none" w:sz="0" w:space="0" w:color="auto"/>
            <w:right w:val="none" w:sz="0" w:space="0" w:color="auto"/>
          </w:divBdr>
        </w:div>
        <w:div w:id="522521182">
          <w:marLeft w:val="0"/>
          <w:marRight w:val="0"/>
          <w:marTop w:val="0"/>
          <w:marBottom w:val="78"/>
          <w:divBdr>
            <w:top w:val="none" w:sz="0" w:space="0" w:color="auto"/>
            <w:left w:val="none" w:sz="0" w:space="0" w:color="auto"/>
            <w:bottom w:val="none" w:sz="0" w:space="0" w:color="auto"/>
            <w:right w:val="none" w:sz="0" w:space="0" w:color="auto"/>
          </w:divBdr>
        </w:div>
        <w:div w:id="1442339669">
          <w:marLeft w:val="0"/>
          <w:marRight w:val="0"/>
          <w:marTop w:val="0"/>
          <w:marBottom w:val="78"/>
          <w:divBdr>
            <w:top w:val="none" w:sz="0" w:space="0" w:color="auto"/>
            <w:left w:val="none" w:sz="0" w:space="0" w:color="auto"/>
            <w:bottom w:val="none" w:sz="0" w:space="0" w:color="auto"/>
            <w:right w:val="none" w:sz="0" w:space="0" w:color="auto"/>
          </w:divBdr>
        </w:div>
        <w:div w:id="2041660921">
          <w:marLeft w:val="0"/>
          <w:marRight w:val="0"/>
          <w:marTop w:val="0"/>
          <w:marBottom w:val="78"/>
          <w:divBdr>
            <w:top w:val="none" w:sz="0" w:space="0" w:color="auto"/>
            <w:left w:val="none" w:sz="0" w:space="0" w:color="auto"/>
            <w:bottom w:val="none" w:sz="0" w:space="0" w:color="auto"/>
            <w:right w:val="none" w:sz="0" w:space="0" w:color="auto"/>
          </w:divBdr>
        </w:div>
        <w:div w:id="111830573">
          <w:marLeft w:val="0"/>
          <w:marRight w:val="0"/>
          <w:marTop w:val="0"/>
          <w:marBottom w:val="78"/>
          <w:divBdr>
            <w:top w:val="none" w:sz="0" w:space="0" w:color="auto"/>
            <w:left w:val="none" w:sz="0" w:space="0" w:color="auto"/>
            <w:bottom w:val="none" w:sz="0" w:space="0" w:color="auto"/>
            <w:right w:val="none" w:sz="0" w:space="0" w:color="auto"/>
          </w:divBdr>
        </w:div>
        <w:div w:id="1692074358">
          <w:marLeft w:val="0"/>
          <w:marRight w:val="0"/>
          <w:marTop w:val="0"/>
          <w:marBottom w:val="78"/>
          <w:divBdr>
            <w:top w:val="none" w:sz="0" w:space="0" w:color="auto"/>
            <w:left w:val="none" w:sz="0" w:space="0" w:color="auto"/>
            <w:bottom w:val="none" w:sz="0" w:space="0" w:color="auto"/>
            <w:right w:val="none" w:sz="0" w:space="0" w:color="auto"/>
          </w:divBdr>
        </w:div>
        <w:div w:id="375005102">
          <w:marLeft w:val="0"/>
          <w:marRight w:val="0"/>
          <w:marTop w:val="0"/>
          <w:marBottom w:val="78"/>
          <w:divBdr>
            <w:top w:val="none" w:sz="0" w:space="0" w:color="auto"/>
            <w:left w:val="none" w:sz="0" w:space="0" w:color="auto"/>
            <w:bottom w:val="none" w:sz="0" w:space="0" w:color="auto"/>
            <w:right w:val="none" w:sz="0" w:space="0" w:color="auto"/>
          </w:divBdr>
        </w:div>
        <w:div w:id="1972251619">
          <w:marLeft w:val="0"/>
          <w:marRight w:val="0"/>
          <w:marTop w:val="0"/>
          <w:marBottom w:val="78"/>
          <w:divBdr>
            <w:top w:val="none" w:sz="0" w:space="0" w:color="auto"/>
            <w:left w:val="none" w:sz="0" w:space="0" w:color="auto"/>
            <w:bottom w:val="none" w:sz="0" w:space="0" w:color="auto"/>
            <w:right w:val="none" w:sz="0" w:space="0" w:color="auto"/>
          </w:divBdr>
        </w:div>
        <w:div w:id="763036087">
          <w:marLeft w:val="0"/>
          <w:marRight w:val="0"/>
          <w:marTop w:val="0"/>
          <w:marBottom w:val="78"/>
          <w:divBdr>
            <w:top w:val="none" w:sz="0" w:space="0" w:color="auto"/>
            <w:left w:val="none" w:sz="0" w:space="0" w:color="auto"/>
            <w:bottom w:val="none" w:sz="0" w:space="0" w:color="auto"/>
            <w:right w:val="none" w:sz="0" w:space="0" w:color="auto"/>
          </w:divBdr>
        </w:div>
        <w:div w:id="1065372330">
          <w:marLeft w:val="0"/>
          <w:marRight w:val="0"/>
          <w:marTop w:val="0"/>
          <w:marBottom w:val="78"/>
          <w:divBdr>
            <w:top w:val="none" w:sz="0" w:space="0" w:color="auto"/>
            <w:left w:val="none" w:sz="0" w:space="0" w:color="auto"/>
            <w:bottom w:val="none" w:sz="0" w:space="0" w:color="auto"/>
            <w:right w:val="none" w:sz="0" w:space="0" w:color="auto"/>
          </w:divBdr>
        </w:div>
        <w:div w:id="2117827935">
          <w:marLeft w:val="0"/>
          <w:marRight w:val="0"/>
          <w:marTop w:val="0"/>
          <w:marBottom w:val="78"/>
          <w:divBdr>
            <w:top w:val="none" w:sz="0" w:space="0" w:color="auto"/>
            <w:left w:val="none" w:sz="0" w:space="0" w:color="auto"/>
            <w:bottom w:val="none" w:sz="0" w:space="0" w:color="auto"/>
            <w:right w:val="none" w:sz="0" w:space="0" w:color="auto"/>
          </w:divBdr>
        </w:div>
        <w:div w:id="1081559745">
          <w:marLeft w:val="0"/>
          <w:marRight w:val="0"/>
          <w:marTop w:val="0"/>
          <w:marBottom w:val="78"/>
          <w:divBdr>
            <w:top w:val="none" w:sz="0" w:space="0" w:color="auto"/>
            <w:left w:val="none" w:sz="0" w:space="0" w:color="auto"/>
            <w:bottom w:val="none" w:sz="0" w:space="0" w:color="auto"/>
            <w:right w:val="none" w:sz="0" w:space="0" w:color="auto"/>
          </w:divBdr>
        </w:div>
        <w:div w:id="1810632243">
          <w:marLeft w:val="0"/>
          <w:marRight w:val="0"/>
          <w:marTop w:val="0"/>
          <w:marBottom w:val="78"/>
          <w:divBdr>
            <w:top w:val="none" w:sz="0" w:space="0" w:color="auto"/>
            <w:left w:val="none" w:sz="0" w:space="0" w:color="auto"/>
            <w:bottom w:val="none" w:sz="0" w:space="0" w:color="auto"/>
            <w:right w:val="none" w:sz="0" w:space="0" w:color="auto"/>
          </w:divBdr>
        </w:div>
        <w:div w:id="944768458">
          <w:marLeft w:val="0"/>
          <w:marRight w:val="0"/>
          <w:marTop w:val="0"/>
          <w:marBottom w:val="78"/>
          <w:divBdr>
            <w:top w:val="none" w:sz="0" w:space="0" w:color="auto"/>
            <w:left w:val="none" w:sz="0" w:space="0" w:color="auto"/>
            <w:bottom w:val="none" w:sz="0" w:space="0" w:color="auto"/>
            <w:right w:val="none" w:sz="0" w:space="0" w:color="auto"/>
          </w:divBdr>
        </w:div>
        <w:div w:id="858007612">
          <w:marLeft w:val="0"/>
          <w:marRight w:val="0"/>
          <w:marTop w:val="0"/>
          <w:marBottom w:val="78"/>
          <w:divBdr>
            <w:top w:val="none" w:sz="0" w:space="0" w:color="auto"/>
            <w:left w:val="none" w:sz="0" w:space="0" w:color="auto"/>
            <w:bottom w:val="none" w:sz="0" w:space="0" w:color="auto"/>
            <w:right w:val="none" w:sz="0" w:space="0" w:color="auto"/>
          </w:divBdr>
        </w:div>
        <w:div w:id="463234089">
          <w:marLeft w:val="0"/>
          <w:marRight w:val="0"/>
          <w:marTop w:val="0"/>
          <w:marBottom w:val="78"/>
          <w:divBdr>
            <w:top w:val="none" w:sz="0" w:space="0" w:color="auto"/>
            <w:left w:val="none" w:sz="0" w:space="0" w:color="auto"/>
            <w:bottom w:val="none" w:sz="0" w:space="0" w:color="auto"/>
            <w:right w:val="none" w:sz="0" w:space="0" w:color="auto"/>
          </w:divBdr>
        </w:div>
        <w:div w:id="835342950">
          <w:marLeft w:val="0"/>
          <w:marRight w:val="0"/>
          <w:marTop w:val="0"/>
          <w:marBottom w:val="78"/>
          <w:divBdr>
            <w:top w:val="none" w:sz="0" w:space="0" w:color="auto"/>
            <w:left w:val="none" w:sz="0" w:space="0" w:color="auto"/>
            <w:bottom w:val="none" w:sz="0" w:space="0" w:color="auto"/>
            <w:right w:val="none" w:sz="0" w:space="0" w:color="auto"/>
          </w:divBdr>
        </w:div>
        <w:div w:id="674114227">
          <w:marLeft w:val="0"/>
          <w:marRight w:val="0"/>
          <w:marTop w:val="0"/>
          <w:marBottom w:val="78"/>
          <w:divBdr>
            <w:top w:val="none" w:sz="0" w:space="0" w:color="auto"/>
            <w:left w:val="none" w:sz="0" w:space="0" w:color="auto"/>
            <w:bottom w:val="none" w:sz="0" w:space="0" w:color="auto"/>
            <w:right w:val="none" w:sz="0" w:space="0" w:color="auto"/>
          </w:divBdr>
        </w:div>
        <w:div w:id="565843844">
          <w:marLeft w:val="0"/>
          <w:marRight w:val="0"/>
          <w:marTop w:val="0"/>
          <w:marBottom w:val="78"/>
          <w:divBdr>
            <w:top w:val="none" w:sz="0" w:space="0" w:color="auto"/>
            <w:left w:val="none" w:sz="0" w:space="0" w:color="auto"/>
            <w:bottom w:val="none" w:sz="0" w:space="0" w:color="auto"/>
            <w:right w:val="none" w:sz="0" w:space="0" w:color="auto"/>
          </w:divBdr>
        </w:div>
        <w:div w:id="708644765">
          <w:marLeft w:val="0"/>
          <w:marRight w:val="0"/>
          <w:marTop w:val="0"/>
          <w:marBottom w:val="78"/>
          <w:divBdr>
            <w:top w:val="none" w:sz="0" w:space="0" w:color="auto"/>
            <w:left w:val="none" w:sz="0" w:space="0" w:color="auto"/>
            <w:bottom w:val="none" w:sz="0" w:space="0" w:color="auto"/>
            <w:right w:val="none" w:sz="0" w:space="0" w:color="auto"/>
          </w:divBdr>
        </w:div>
        <w:div w:id="2019309407">
          <w:marLeft w:val="0"/>
          <w:marRight w:val="0"/>
          <w:marTop w:val="0"/>
          <w:marBottom w:val="78"/>
          <w:divBdr>
            <w:top w:val="none" w:sz="0" w:space="0" w:color="auto"/>
            <w:left w:val="none" w:sz="0" w:space="0" w:color="auto"/>
            <w:bottom w:val="none" w:sz="0" w:space="0" w:color="auto"/>
            <w:right w:val="none" w:sz="0" w:space="0" w:color="auto"/>
          </w:divBdr>
        </w:div>
        <w:div w:id="1663466212">
          <w:marLeft w:val="0"/>
          <w:marRight w:val="0"/>
          <w:marTop w:val="0"/>
          <w:marBottom w:val="78"/>
          <w:divBdr>
            <w:top w:val="none" w:sz="0" w:space="0" w:color="auto"/>
            <w:left w:val="none" w:sz="0" w:space="0" w:color="auto"/>
            <w:bottom w:val="none" w:sz="0" w:space="0" w:color="auto"/>
            <w:right w:val="none" w:sz="0" w:space="0" w:color="auto"/>
          </w:divBdr>
        </w:div>
        <w:div w:id="538979271">
          <w:marLeft w:val="0"/>
          <w:marRight w:val="0"/>
          <w:marTop w:val="0"/>
          <w:marBottom w:val="78"/>
          <w:divBdr>
            <w:top w:val="none" w:sz="0" w:space="0" w:color="auto"/>
            <w:left w:val="none" w:sz="0" w:space="0" w:color="auto"/>
            <w:bottom w:val="none" w:sz="0" w:space="0" w:color="auto"/>
            <w:right w:val="none" w:sz="0" w:space="0" w:color="auto"/>
          </w:divBdr>
        </w:div>
        <w:div w:id="1969163774">
          <w:marLeft w:val="0"/>
          <w:marRight w:val="0"/>
          <w:marTop w:val="0"/>
          <w:marBottom w:val="78"/>
          <w:divBdr>
            <w:top w:val="none" w:sz="0" w:space="0" w:color="auto"/>
            <w:left w:val="none" w:sz="0" w:space="0" w:color="auto"/>
            <w:bottom w:val="none" w:sz="0" w:space="0" w:color="auto"/>
            <w:right w:val="none" w:sz="0" w:space="0" w:color="auto"/>
          </w:divBdr>
        </w:div>
        <w:div w:id="1465925761">
          <w:marLeft w:val="0"/>
          <w:marRight w:val="0"/>
          <w:marTop w:val="0"/>
          <w:marBottom w:val="78"/>
          <w:divBdr>
            <w:top w:val="none" w:sz="0" w:space="0" w:color="auto"/>
            <w:left w:val="none" w:sz="0" w:space="0" w:color="auto"/>
            <w:bottom w:val="none" w:sz="0" w:space="0" w:color="auto"/>
            <w:right w:val="none" w:sz="0" w:space="0" w:color="auto"/>
          </w:divBdr>
        </w:div>
        <w:div w:id="808132813">
          <w:marLeft w:val="0"/>
          <w:marRight w:val="0"/>
          <w:marTop w:val="0"/>
          <w:marBottom w:val="78"/>
          <w:divBdr>
            <w:top w:val="none" w:sz="0" w:space="0" w:color="auto"/>
            <w:left w:val="none" w:sz="0" w:space="0" w:color="auto"/>
            <w:bottom w:val="none" w:sz="0" w:space="0" w:color="auto"/>
            <w:right w:val="none" w:sz="0" w:space="0" w:color="auto"/>
          </w:divBdr>
        </w:div>
        <w:div w:id="1968779939">
          <w:marLeft w:val="0"/>
          <w:marRight w:val="0"/>
          <w:marTop w:val="0"/>
          <w:marBottom w:val="78"/>
          <w:divBdr>
            <w:top w:val="none" w:sz="0" w:space="0" w:color="auto"/>
            <w:left w:val="none" w:sz="0" w:space="0" w:color="auto"/>
            <w:bottom w:val="none" w:sz="0" w:space="0" w:color="auto"/>
            <w:right w:val="none" w:sz="0" w:space="0" w:color="auto"/>
          </w:divBdr>
        </w:div>
        <w:div w:id="638805015">
          <w:marLeft w:val="0"/>
          <w:marRight w:val="0"/>
          <w:marTop w:val="0"/>
          <w:marBottom w:val="78"/>
          <w:divBdr>
            <w:top w:val="none" w:sz="0" w:space="0" w:color="auto"/>
            <w:left w:val="none" w:sz="0" w:space="0" w:color="auto"/>
            <w:bottom w:val="none" w:sz="0" w:space="0" w:color="auto"/>
            <w:right w:val="none" w:sz="0" w:space="0" w:color="auto"/>
          </w:divBdr>
        </w:div>
        <w:div w:id="1896968210">
          <w:marLeft w:val="0"/>
          <w:marRight w:val="0"/>
          <w:marTop w:val="0"/>
          <w:marBottom w:val="78"/>
          <w:divBdr>
            <w:top w:val="none" w:sz="0" w:space="0" w:color="auto"/>
            <w:left w:val="none" w:sz="0" w:space="0" w:color="auto"/>
            <w:bottom w:val="none" w:sz="0" w:space="0" w:color="auto"/>
            <w:right w:val="none" w:sz="0" w:space="0" w:color="auto"/>
          </w:divBdr>
        </w:div>
        <w:div w:id="381179503">
          <w:marLeft w:val="0"/>
          <w:marRight w:val="0"/>
          <w:marTop w:val="0"/>
          <w:marBottom w:val="78"/>
          <w:divBdr>
            <w:top w:val="none" w:sz="0" w:space="0" w:color="auto"/>
            <w:left w:val="none" w:sz="0" w:space="0" w:color="auto"/>
            <w:bottom w:val="none" w:sz="0" w:space="0" w:color="auto"/>
            <w:right w:val="none" w:sz="0" w:space="0" w:color="auto"/>
          </w:divBdr>
        </w:div>
        <w:div w:id="161432192">
          <w:marLeft w:val="0"/>
          <w:marRight w:val="0"/>
          <w:marTop w:val="0"/>
          <w:marBottom w:val="101"/>
          <w:divBdr>
            <w:top w:val="none" w:sz="0" w:space="0" w:color="auto"/>
            <w:left w:val="none" w:sz="0" w:space="0" w:color="auto"/>
            <w:bottom w:val="none" w:sz="0" w:space="0" w:color="auto"/>
            <w:right w:val="none" w:sz="0" w:space="0" w:color="auto"/>
          </w:divBdr>
        </w:div>
        <w:div w:id="1372731661">
          <w:marLeft w:val="0"/>
          <w:marRight w:val="0"/>
          <w:marTop w:val="0"/>
          <w:marBottom w:val="101"/>
          <w:divBdr>
            <w:top w:val="none" w:sz="0" w:space="0" w:color="auto"/>
            <w:left w:val="none" w:sz="0" w:space="0" w:color="auto"/>
            <w:bottom w:val="none" w:sz="0" w:space="0" w:color="auto"/>
            <w:right w:val="none" w:sz="0" w:space="0" w:color="auto"/>
          </w:divBdr>
        </w:div>
        <w:div w:id="1040128625">
          <w:marLeft w:val="0"/>
          <w:marRight w:val="0"/>
          <w:marTop w:val="0"/>
          <w:marBottom w:val="101"/>
          <w:divBdr>
            <w:top w:val="none" w:sz="0" w:space="0" w:color="auto"/>
            <w:left w:val="none" w:sz="0" w:space="0" w:color="auto"/>
            <w:bottom w:val="none" w:sz="0" w:space="0" w:color="auto"/>
            <w:right w:val="none" w:sz="0" w:space="0" w:color="auto"/>
          </w:divBdr>
        </w:div>
        <w:div w:id="1889950661">
          <w:marLeft w:val="0"/>
          <w:marRight w:val="0"/>
          <w:marTop w:val="0"/>
          <w:marBottom w:val="101"/>
          <w:divBdr>
            <w:top w:val="none" w:sz="0" w:space="0" w:color="auto"/>
            <w:left w:val="none" w:sz="0" w:space="0" w:color="auto"/>
            <w:bottom w:val="none" w:sz="0" w:space="0" w:color="auto"/>
            <w:right w:val="none" w:sz="0" w:space="0" w:color="auto"/>
          </w:divBdr>
        </w:div>
        <w:div w:id="1074207967">
          <w:marLeft w:val="0"/>
          <w:marRight w:val="0"/>
          <w:marTop w:val="0"/>
          <w:marBottom w:val="101"/>
          <w:divBdr>
            <w:top w:val="none" w:sz="0" w:space="0" w:color="auto"/>
            <w:left w:val="none" w:sz="0" w:space="0" w:color="auto"/>
            <w:bottom w:val="none" w:sz="0" w:space="0" w:color="auto"/>
            <w:right w:val="none" w:sz="0" w:space="0" w:color="auto"/>
          </w:divBdr>
        </w:div>
        <w:div w:id="395590154">
          <w:marLeft w:val="0"/>
          <w:marRight w:val="0"/>
          <w:marTop w:val="0"/>
          <w:marBottom w:val="101"/>
          <w:divBdr>
            <w:top w:val="none" w:sz="0" w:space="0" w:color="auto"/>
            <w:left w:val="none" w:sz="0" w:space="0" w:color="auto"/>
            <w:bottom w:val="none" w:sz="0" w:space="0" w:color="auto"/>
            <w:right w:val="none" w:sz="0" w:space="0" w:color="auto"/>
          </w:divBdr>
        </w:div>
        <w:div w:id="499540495">
          <w:marLeft w:val="0"/>
          <w:marRight w:val="0"/>
          <w:marTop w:val="0"/>
          <w:marBottom w:val="101"/>
          <w:divBdr>
            <w:top w:val="none" w:sz="0" w:space="0" w:color="auto"/>
            <w:left w:val="none" w:sz="0" w:space="0" w:color="auto"/>
            <w:bottom w:val="none" w:sz="0" w:space="0" w:color="auto"/>
            <w:right w:val="none" w:sz="0" w:space="0" w:color="auto"/>
          </w:divBdr>
        </w:div>
        <w:div w:id="79714471">
          <w:marLeft w:val="0"/>
          <w:marRight w:val="0"/>
          <w:marTop w:val="0"/>
          <w:marBottom w:val="101"/>
          <w:divBdr>
            <w:top w:val="none" w:sz="0" w:space="0" w:color="auto"/>
            <w:left w:val="none" w:sz="0" w:space="0" w:color="auto"/>
            <w:bottom w:val="none" w:sz="0" w:space="0" w:color="auto"/>
            <w:right w:val="none" w:sz="0" w:space="0" w:color="auto"/>
          </w:divBdr>
        </w:div>
        <w:div w:id="784809611">
          <w:marLeft w:val="0"/>
          <w:marRight w:val="0"/>
          <w:marTop w:val="0"/>
          <w:marBottom w:val="101"/>
          <w:divBdr>
            <w:top w:val="none" w:sz="0" w:space="0" w:color="auto"/>
            <w:left w:val="none" w:sz="0" w:space="0" w:color="auto"/>
            <w:bottom w:val="none" w:sz="0" w:space="0" w:color="auto"/>
            <w:right w:val="none" w:sz="0" w:space="0" w:color="auto"/>
          </w:divBdr>
        </w:div>
        <w:div w:id="1681464509">
          <w:marLeft w:val="0"/>
          <w:marRight w:val="0"/>
          <w:marTop w:val="0"/>
          <w:marBottom w:val="101"/>
          <w:divBdr>
            <w:top w:val="none" w:sz="0" w:space="0" w:color="auto"/>
            <w:left w:val="none" w:sz="0" w:space="0" w:color="auto"/>
            <w:bottom w:val="none" w:sz="0" w:space="0" w:color="auto"/>
            <w:right w:val="none" w:sz="0" w:space="0" w:color="auto"/>
          </w:divBdr>
        </w:div>
        <w:div w:id="160004152">
          <w:marLeft w:val="0"/>
          <w:marRight w:val="0"/>
          <w:marTop w:val="0"/>
          <w:marBottom w:val="101"/>
          <w:divBdr>
            <w:top w:val="none" w:sz="0" w:space="0" w:color="auto"/>
            <w:left w:val="none" w:sz="0" w:space="0" w:color="auto"/>
            <w:bottom w:val="none" w:sz="0" w:space="0" w:color="auto"/>
            <w:right w:val="none" w:sz="0" w:space="0" w:color="auto"/>
          </w:divBdr>
        </w:div>
        <w:div w:id="856889412">
          <w:marLeft w:val="0"/>
          <w:marRight w:val="0"/>
          <w:marTop w:val="0"/>
          <w:marBottom w:val="101"/>
          <w:divBdr>
            <w:top w:val="none" w:sz="0" w:space="0" w:color="auto"/>
            <w:left w:val="none" w:sz="0" w:space="0" w:color="auto"/>
            <w:bottom w:val="none" w:sz="0" w:space="0" w:color="auto"/>
            <w:right w:val="none" w:sz="0" w:space="0" w:color="auto"/>
          </w:divBdr>
        </w:div>
        <w:div w:id="154105012">
          <w:marLeft w:val="0"/>
          <w:marRight w:val="0"/>
          <w:marTop w:val="0"/>
          <w:marBottom w:val="101"/>
          <w:divBdr>
            <w:top w:val="none" w:sz="0" w:space="0" w:color="auto"/>
            <w:left w:val="none" w:sz="0" w:space="0" w:color="auto"/>
            <w:bottom w:val="none" w:sz="0" w:space="0" w:color="auto"/>
            <w:right w:val="none" w:sz="0" w:space="0" w:color="auto"/>
          </w:divBdr>
        </w:div>
        <w:div w:id="1219364325">
          <w:marLeft w:val="0"/>
          <w:marRight w:val="0"/>
          <w:marTop w:val="0"/>
          <w:marBottom w:val="101"/>
          <w:divBdr>
            <w:top w:val="none" w:sz="0" w:space="0" w:color="auto"/>
            <w:left w:val="none" w:sz="0" w:space="0" w:color="auto"/>
            <w:bottom w:val="none" w:sz="0" w:space="0" w:color="auto"/>
            <w:right w:val="none" w:sz="0" w:space="0" w:color="auto"/>
          </w:divBdr>
        </w:div>
        <w:div w:id="791241874">
          <w:marLeft w:val="0"/>
          <w:marRight w:val="0"/>
          <w:marTop w:val="0"/>
          <w:marBottom w:val="101"/>
          <w:divBdr>
            <w:top w:val="none" w:sz="0" w:space="0" w:color="auto"/>
            <w:left w:val="none" w:sz="0" w:space="0" w:color="auto"/>
            <w:bottom w:val="none" w:sz="0" w:space="0" w:color="auto"/>
            <w:right w:val="none" w:sz="0" w:space="0" w:color="auto"/>
          </w:divBdr>
        </w:div>
        <w:div w:id="1767074597">
          <w:marLeft w:val="0"/>
          <w:marRight w:val="0"/>
          <w:marTop w:val="101"/>
          <w:marBottom w:val="101"/>
          <w:divBdr>
            <w:top w:val="none" w:sz="0" w:space="0" w:color="auto"/>
            <w:left w:val="none" w:sz="0" w:space="0" w:color="auto"/>
            <w:bottom w:val="none" w:sz="0" w:space="0" w:color="auto"/>
            <w:right w:val="none" w:sz="0" w:space="0" w:color="auto"/>
          </w:divBdr>
        </w:div>
        <w:div w:id="353580612">
          <w:marLeft w:val="0"/>
          <w:marRight w:val="0"/>
          <w:marTop w:val="0"/>
          <w:marBottom w:val="101"/>
          <w:divBdr>
            <w:top w:val="none" w:sz="0" w:space="0" w:color="auto"/>
            <w:left w:val="none" w:sz="0" w:space="0" w:color="auto"/>
            <w:bottom w:val="none" w:sz="0" w:space="0" w:color="auto"/>
            <w:right w:val="none" w:sz="0" w:space="0" w:color="auto"/>
          </w:divBdr>
        </w:div>
        <w:div w:id="1931497554">
          <w:marLeft w:val="0"/>
          <w:marRight w:val="0"/>
          <w:marTop w:val="0"/>
          <w:marBottom w:val="101"/>
          <w:divBdr>
            <w:top w:val="none" w:sz="0" w:space="0" w:color="auto"/>
            <w:left w:val="none" w:sz="0" w:space="0" w:color="auto"/>
            <w:bottom w:val="none" w:sz="0" w:space="0" w:color="auto"/>
            <w:right w:val="none" w:sz="0" w:space="0" w:color="auto"/>
          </w:divBdr>
        </w:div>
        <w:div w:id="1970743846">
          <w:marLeft w:val="0"/>
          <w:marRight w:val="0"/>
          <w:marTop w:val="0"/>
          <w:marBottom w:val="87"/>
          <w:divBdr>
            <w:top w:val="none" w:sz="0" w:space="0" w:color="auto"/>
            <w:left w:val="none" w:sz="0" w:space="0" w:color="auto"/>
            <w:bottom w:val="none" w:sz="0" w:space="0" w:color="auto"/>
            <w:right w:val="none" w:sz="0" w:space="0" w:color="auto"/>
          </w:divBdr>
        </w:div>
        <w:div w:id="342627806">
          <w:marLeft w:val="0"/>
          <w:marRight w:val="0"/>
          <w:marTop w:val="0"/>
          <w:marBottom w:val="87"/>
          <w:divBdr>
            <w:top w:val="none" w:sz="0" w:space="0" w:color="auto"/>
            <w:left w:val="none" w:sz="0" w:space="0" w:color="auto"/>
            <w:bottom w:val="none" w:sz="0" w:space="0" w:color="auto"/>
            <w:right w:val="none" w:sz="0" w:space="0" w:color="auto"/>
          </w:divBdr>
        </w:div>
        <w:div w:id="1984387146">
          <w:marLeft w:val="0"/>
          <w:marRight w:val="0"/>
          <w:marTop w:val="0"/>
          <w:marBottom w:val="87"/>
          <w:divBdr>
            <w:top w:val="none" w:sz="0" w:space="0" w:color="auto"/>
            <w:left w:val="none" w:sz="0" w:space="0" w:color="auto"/>
            <w:bottom w:val="none" w:sz="0" w:space="0" w:color="auto"/>
            <w:right w:val="none" w:sz="0" w:space="0" w:color="auto"/>
          </w:divBdr>
        </w:div>
        <w:div w:id="1117867936">
          <w:marLeft w:val="0"/>
          <w:marRight w:val="0"/>
          <w:marTop w:val="0"/>
          <w:marBottom w:val="87"/>
          <w:divBdr>
            <w:top w:val="none" w:sz="0" w:space="0" w:color="auto"/>
            <w:left w:val="none" w:sz="0" w:space="0" w:color="auto"/>
            <w:bottom w:val="none" w:sz="0" w:space="0" w:color="auto"/>
            <w:right w:val="none" w:sz="0" w:space="0" w:color="auto"/>
          </w:divBdr>
        </w:div>
        <w:div w:id="1337537881">
          <w:marLeft w:val="0"/>
          <w:marRight w:val="0"/>
          <w:marTop w:val="0"/>
          <w:marBottom w:val="87"/>
          <w:divBdr>
            <w:top w:val="none" w:sz="0" w:space="0" w:color="auto"/>
            <w:left w:val="none" w:sz="0" w:space="0" w:color="auto"/>
            <w:bottom w:val="none" w:sz="0" w:space="0" w:color="auto"/>
            <w:right w:val="none" w:sz="0" w:space="0" w:color="auto"/>
          </w:divBdr>
        </w:div>
        <w:div w:id="952251105">
          <w:marLeft w:val="0"/>
          <w:marRight w:val="0"/>
          <w:marTop w:val="0"/>
          <w:marBottom w:val="87"/>
          <w:divBdr>
            <w:top w:val="none" w:sz="0" w:space="0" w:color="auto"/>
            <w:left w:val="none" w:sz="0" w:space="0" w:color="auto"/>
            <w:bottom w:val="none" w:sz="0" w:space="0" w:color="auto"/>
            <w:right w:val="none" w:sz="0" w:space="0" w:color="auto"/>
          </w:divBdr>
        </w:div>
        <w:div w:id="1931431663">
          <w:marLeft w:val="0"/>
          <w:marRight w:val="0"/>
          <w:marTop w:val="0"/>
          <w:marBottom w:val="87"/>
          <w:divBdr>
            <w:top w:val="none" w:sz="0" w:space="0" w:color="auto"/>
            <w:left w:val="none" w:sz="0" w:space="0" w:color="auto"/>
            <w:bottom w:val="none" w:sz="0" w:space="0" w:color="auto"/>
            <w:right w:val="none" w:sz="0" w:space="0" w:color="auto"/>
          </w:divBdr>
        </w:div>
        <w:div w:id="1091659457">
          <w:marLeft w:val="0"/>
          <w:marRight w:val="0"/>
          <w:marTop w:val="0"/>
          <w:marBottom w:val="87"/>
          <w:divBdr>
            <w:top w:val="none" w:sz="0" w:space="0" w:color="auto"/>
            <w:left w:val="none" w:sz="0" w:space="0" w:color="auto"/>
            <w:bottom w:val="none" w:sz="0" w:space="0" w:color="auto"/>
            <w:right w:val="none" w:sz="0" w:space="0" w:color="auto"/>
          </w:divBdr>
        </w:div>
        <w:div w:id="252401697">
          <w:marLeft w:val="0"/>
          <w:marRight w:val="0"/>
          <w:marTop w:val="0"/>
          <w:marBottom w:val="87"/>
          <w:divBdr>
            <w:top w:val="none" w:sz="0" w:space="0" w:color="auto"/>
            <w:left w:val="none" w:sz="0" w:space="0" w:color="auto"/>
            <w:bottom w:val="none" w:sz="0" w:space="0" w:color="auto"/>
            <w:right w:val="none" w:sz="0" w:space="0" w:color="auto"/>
          </w:divBdr>
        </w:div>
        <w:div w:id="3558655">
          <w:marLeft w:val="0"/>
          <w:marRight w:val="0"/>
          <w:marTop w:val="0"/>
          <w:marBottom w:val="87"/>
          <w:divBdr>
            <w:top w:val="none" w:sz="0" w:space="0" w:color="auto"/>
            <w:left w:val="none" w:sz="0" w:space="0" w:color="auto"/>
            <w:bottom w:val="none" w:sz="0" w:space="0" w:color="auto"/>
            <w:right w:val="none" w:sz="0" w:space="0" w:color="auto"/>
          </w:divBdr>
        </w:div>
        <w:div w:id="1684821443">
          <w:marLeft w:val="0"/>
          <w:marRight w:val="0"/>
          <w:marTop w:val="0"/>
          <w:marBottom w:val="87"/>
          <w:divBdr>
            <w:top w:val="none" w:sz="0" w:space="0" w:color="auto"/>
            <w:left w:val="none" w:sz="0" w:space="0" w:color="auto"/>
            <w:bottom w:val="none" w:sz="0" w:space="0" w:color="auto"/>
            <w:right w:val="none" w:sz="0" w:space="0" w:color="auto"/>
          </w:divBdr>
        </w:div>
        <w:div w:id="877081430">
          <w:marLeft w:val="0"/>
          <w:marRight w:val="0"/>
          <w:marTop w:val="101"/>
          <w:marBottom w:val="87"/>
          <w:divBdr>
            <w:top w:val="none" w:sz="0" w:space="0" w:color="auto"/>
            <w:left w:val="none" w:sz="0" w:space="0" w:color="auto"/>
            <w:bottom w:val="none" w:sz="0" w:space="0" w:color="auto"/>
            <w:right w:val="none" w:sz="0" w:space="0" w:color="auto"/>
          </w:divBdr>
        </w:div>
        <w:div w:id="315382957">
          <w:marLeft w:val="0"/>
          <w:marRight w:val="0"/>
          <w:marTop w:val="0"/>
          <w:marBottom w:val="87"/>
          <w:divBdr>
            <w:top w:val="none" w:sz="0" w:space="0" w:color="auto"/>
            <w:left w:val="none" w:sz="0" w:space="0" w:color="auto"/>
            <w:bottom w:val="none" w:sz="0" w:space="0" w:color="auto"/>
            <w:right w:val="none" w:sz="0" w:space="0" w:color="auto"/>
          </w:divBdr>
        </w:div>
        <w:div w:id="60294566">
          <w:marLeft w:val="0"/>
          <w:marRight w:val="0"/>
          <w:marTop w:val="0"/>
          <w:marBottom w:val="87"/>
          <w:divBdr>
            <w:top w:val="none" w:sz="0" w:space="0" w:color="auto"/>
            <w:left w:val="none" w:sz="0" w:space="0" w:color="auto"/>
            <w:bottom w:val="none" w:sz="0" w:space="0" w:color="auto"/>
            <w:right w:val="none" w:sz="0" w:space="0" w:color="auto"/>
          </w:divBdr>
        </w:div>
        <w:div w:id="1285313298">
          <w:marLeft w:val="0"/>
          <w:marRight w:val="0"/>
          <w:marTop w:val="0"/>
          <w:marBottom w:val="87"/>
          <w:divBdr>
            <w:top w:val="none" w:sz="0" w:space="0" w:color="auto"/>
            <w:left w:val="none" w:sz="0" w:space="0" w:color="auto"/>
            <w:bottom w:val="none" w:sz="0" w:space="0" w:color="auto"/>
            <w:right w:val="none" w:sz="0" w:space="0" w:color="auto"/>
          </w:divBdr>
        </w:div>
        <w:div w:id="132328784">
          <w:marLeft w:val="0"/>
          <w:marRight w:val="0"/>
          <w:marTop w:val="0"/>
          <w:marBottom w:val="87"/>
          <w:divBdr>
            <w:top w:val="none" w:sz="0" w:space="0" w:color="auto"/>
            <w:left w:val="none" w:sz="0" w:space="0" w:color="auto"/>
            <w:bottom w:val="none" w:sz="0" w:space="0" w:color="auto"/>
            <w:right w:val="none" w:sz="0" w:space="0" w:color="auto"/>
          </w:divBdr>
        </w:div>
        <w:div w:id="1621036740">
          <w:marLeft w:val="0"/>
          <w:marRight w:val="0"/>
          <w:marTop w:val="0"/>
          <w:marBottom w:val="87"/>
          <w:divBdr>
            <w:top w:val="none" w:sz="0" w:space="0" w:color="auto"/>
            <w:left w:val="none" w:sz="0" w:space="0" w:color="auto"/>
            <w:bottom w:val="none" w:sz="0" w:space="0" w:color="auto"/>
            <w:right w:val="none" w:sz="0" w:space="0" w:color="auto"/>
          </w:divBdr>
        </w:div>
        <w:div w:id="1865316447">
          <w:marLeft w:val="0"/>
          <w:marRight w:val="0"/>
          <w:marTop w:val="0"/>
          <w:marBottom w:val="87"/>
          <w:divBdr>
            <w:top w:val="none" w:sz="0" w:space="0" w:color="auto"/>
            <w:left w:val="none" w:sz="0" w:space="0" w:color="auto"/>
            <w:bottom w:val="none" w:sz="0" w:space="0" w:color="auto"/>
            <w:right w:val="none" w:sz="0" w:space="0" w:color="auto"/>
          </w:divBdr>
        </w:div>
        <w:div w:id="318270565">
          <w:marLeft w:val="0"/>
          <w:marRight w:val="0"/>
          <w:marTop w:val="0"/>
          <w:marBottom w:val="87"/>
          <w:divBdr>
            <w:top w:val="none" w:sz="0" w:space="0" w:color="auto"/>
            <w:left w:val="none" w:sz="0" w:space="0" w:color="auto"/>
            <w:bottom w:val="none" w:sz="0" w:space="0" w:color="auto"/>
            <w:right w:val="none" w:sz="0" w:space="0" w:color="auto"/>
          </w:divBdr>
        </w:div>
        <w:div w:id="136728616">
          <w:marLeft w:val="0"/>
          <w:marRight w:val="0"/>
          <w:marTop w:val="0"/>
          <w:marBottom w:val="87"/>
          <w:divBdr>
            <w:top w:val="none" w:sz="0" w:space="0" w:color="auto"/>
            <w:left w:val="none" w:sz="0" w:space="0" w:color="auto"/>
            <w:bottom w:val="none" w:sz="0" w:space="0" w:color="auto"/>
            <w:right w:val="none" w:sz="0" w:space="0" w:color="auto"/>
          </w:divBdr>
        </w:div>
        <w:div w:id="1044719150">
          <w:marLeft w:val="0"/>
          <w:marRight w:val="0"/>
          <w:marTop w:val="0"/>
          <w:marBottom w:val="87"/>
          <w:divBdr>
            <w:top w:val="none" w:sz="0" w:space="0" w:color="auto"/>
            <w:left w:val="none" w:sz="0" w:space="0" w:color="auto"/>
            <w:bottom w:val="none" w:sz="0" w:space="0" w:color="auto"/>
            <w:right w:val="none" w:sz="0" w:space="0" w:color="auto"/>
          </w:divBdr>
        </w:div>
        <w:div w:id="1172185561">
          <w:marLeft w:val="0"/>
          <w:marRight w:val="0"/>
          <w:marTop w:val="0"/>
          <w:marBottom w:val="87"/>
          <w:divBdr>
            <w:top w:val="none" w:sz="0" w:space="0" w:color="auto"/>
            <w:left w:val="none" w:sz="0" w:space="0" w:color="auto"/>
            <w:bottom w:val="none" w:sz="0" w:space="0" w:color="auto"/>
            <w:right w:val="none" w:sz="0" w:space="0" w:color="auto"/>
          </w:divBdr>
        </w:div>
      </w:divsChild>
    </w:div>
    <w:div w:id="10678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2521</Words>
  <Characters>13868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2019-06-20T13:03:00Z</dcterms:created>
  <dcterms:modified xsi:type="dcterms:W3CDTF">2019-06-20T13:05:00Z</dcterms:modified>
</cp:coreProperties>
</file>